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EquipmentShare.com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0000FF"/>
        </w:rPr>
        <w:t>John Griffin</w:t>
      </w:r>
    </w:p>
    <w:p>
      <w:pPr>
        <w:spacing w:after="0" w:line="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0000FF"/>
        </w:rPr>
        <w:t>5710 Bull Run Drive,</w:t>
      </w:r>
    </w:p>
    <w:p>
      <w:pPr>
        <w:ind w:left="3800"/>
        <w:spacing w:after="0" w:line="230" w:lineRule="auto"/>
        <w:rPr>
          <w:sz w:val="20"/>
          <w:szCs w:val="20"/>
          <w:color w:val="auto"/>
        </w:rPr>
      </w:pPr>
      <w:r>
        <w:rPr>
          <w:rFonts w:ascii="Times New Roman" w:cs="Times New Roman" w:eastAsia="Times New Roman" w:hAnsi="Times New Roman"/>
          <w:sz w:val="22"/>
          <w:szCs w:val="22"/>
          <w:b w:val="1"/>
          <w:bCs w:val="1"/>
          <w:color w:val="0000FF"/>
        </w:rPr>
        <w:t>Columbia, MO, 65201</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(573) 299-5222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Jabbok Schlacks</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PF</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34,828,852.00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21,236,589.00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13,592,263.00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34,828,852.00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rows 8 and 11: (1) Consists of (i) 50,000 shares of Class A common stock, (ii) 13,592,263 shares of Class A</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common stock held by EQS Heritage Holdings LLC, (iii) 714,285 shares of Class A common stock held by EQS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Legacy Holdings LLC, (iv) 18,784,472 shares of Class B Common Stock and (v) 1,687,832 shares of Class B</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Common Stock underlying options that are currently exercisable. Each of Jabbok Schlacks and William J. Schlacks IV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is a Managing Member of EQS Heritage Holdings LLC and EQS Legacy Holdings LLC and has controlling voting and</w:t>
      </w: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dispositive power with regard to the shares held by such entities. Each share of Class B Common Stock is convertible into one share of the Issuer's Class A Common Stock at any time at the option of the holder thereof. Jabbok Schlacks and William J. Schlacks IV are parties to a voting agreement whereby each has agreed to vote their shares together as a group. Accordingly, each of Jabbok Schlacks and William J. Schlacks IV may be deemed to beneficially own each other's stock with shared voting power, currently consisting in the aggregate of 100,000 shares of Class A Common Stock and 37,568,944 shares of Class B Common Stock. Notes to row 13: (2) Based on the quotient obtained by dividing (a) the aggregate number of Class A Common Stock and Class B Common Stock, together, beneficially owned by the Reporting Person as set forth in Row 11 by (b) the sum of (i) 214,806,153 shares of Class A Common Stock outstanding as of May 10, 2026 and (ii) the aggregate number of shares of Class B Common Stock beneficially owned by the Reporting Person. The aggregate number of shares of Class B Common Stock beneficially owned by the Reporting Person as set forth in clauses "(a)" and "(b)" of this footnote are treated as converted into shares of Class A Common Stock solely for the purpose of computing the percentage ownership of the Reporting Person. (3) Each share of Class A Common Stock is entitled to one vote and each share of Class B Common Stock is entitled to 20 votes. Accordingly, each of Jabbok Schlacks and William J. Schlacks IV own 42.5% of the total outstanding voting power, and based on their voting agreement, their interests collectively represent 81% of the aggregate voting power of the Issuer's issued and outstanding share capital.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111" w:right="3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William J. Schlacks IV</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34,828,852.00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21,236,589.00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13,592,263.00</w:t>
            </w:r>
          </w:p>
        </w:tc>
        <w:tc>
          <w:tcPr>
            <w:tcW w:w="0" w:type="dxa"/>
            <w:vAlign w:val="bottom"/>
          </w:tcPr>
          <w:p>
            <w:pPr>
              <w:spacing w:after="0"/>
              <w:rPr>
                <w:sz w:val="1"/>
                <w:szCs w:val="1"/>
                <w:color w:val="auto"/>
              </w:rPr>
            </w:pPr>
          </w:p>
        </w:tc>
      </w:tr>
      <w:tr>
        <w:trPr>
          <w:trHeight w:val="33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34,828,852.00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14.9 %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rows 8 and 11: (1) Consists of (i) 50,000 shares of Class A common stock, (ii) 13,592,263 shares of Class A</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common stock held by EQS Heritage Holdings LLC, (iii) 714,285 shares of Class A common stock held by EQS</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Legacy Holdings LLC, (iv) 18,784,472 shares of Class B Common Stock and (v) 1,687,832 shares of Class B</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Common Stock underlying options that are currently exercisable. Each of William J. Schlacks IV and Jabbok Schlacks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is a Managing Member of EQS Heritage Holdings LLC and EQS Legacy Holdings LLC and has controlling voting and</w:t>
      </w: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dispositive power with regard to the shares held by such entities. Each share of Class B Common Stock is convertible into one share of the Issuer's Class A Common Stock at any time at the option of the holder thereof. William J. Schlacks IV and Jabbok Schlacks are parties to a voting agreement whereby each has agreed to vote their shares together as a group. Accordingly, each of William J. Schlacks IV and Jabbok Schlacks may be deemed to beneficially own each other's stock with shared voting power, currently consisting in the aggregate of 100,000 shares of Class A Common Stock and 37,568,944 shares of Class B Common Stock. Notes to row 13: (2) Based on the quotient obtained by dividing (a) the aggregate number of Class A Common Stock and Class B Common Stock, together, beneficially owned by the Reporting Person as set forth in Row 11 by (b) the sum of (i) 214,806,153 shares of Class A Common Stock outstanding as of May 10, 2026 and (ii) the aggregate number of shares of Class B Common Stock beneficially owned by the Reporting Person. The aggregate number of shares of Class B Common Stock beneficially owned by the Reporting Person as set forth in clauses "(a)" and "(b)" of this footnote are treated as converted into shares of Class A Common Stock solely for the purpose of computing the percentage ownership of the Reporting Person. (3) Each share of Class A Common Stock is entitled to one vote and each share of Class B Common Stock is entitled to 20 votes. Accordingly, each of William J. Schlacks IV and Jabbok Schlacks own 42.5% of the total outstanding voting power, and based on their voting agreement, their interests collectively represent 81% of the aggregate voting power of the Issuer's issued and outstanding share capital.</w:t>
      </w:r>
    </w:p>
    <w:p>
      <w:pPr>
        <w:sectPr>
          <w:pgSz w:w="11900" w:h="16838" w:orient="portrait"/>
          <w:cols w:equalWidth="0" w:num="1">
            <w:col w:w="11240"/>
          </w:cols>
          <w:pgMar w:left="320" w:top="111" w:right="339" w:bottom="537"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EquipmentShare.com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5710 Bull Run Drive, Columbia, MISSOURI , 65201.</w:t>
      </w:r>
    </w:p>
    <w:p>
      <w:pPr>
        <w:spacing w:after="0" w:line="20" w:lineRule="exact"/>
        <w:rPr>
          <w:sz w:val="20"/>
          <w:szCs w:val="20"/>
          <w:color w:val="auto"/>
        </w:rPr>
      </w:pPr>
    </w:p>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of beneficial ownership on Schedule 13D (this "Statement") relates to the shares of Class A common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stock, par value $0.00000125 per share, and shares of Class B common stock, par value $0.00000125 per share,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EquipmentShare.com Inc, a Texas corporation (the "Issuer"). The Issuer's principal executive office is located at 5710</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Bull Run Drive, Columbia, Missouri, 65201.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320"/>
        <w:spacing w:after="0" w:line="253" w:lineRule="auto"/>
        <w:rPr>
          <w:sz w:val="20"/>
          <w:szCs w:val="20"/>
          <w:color w:val="auto"/>
        </w:rPr>
      </w:pPr>
      <w:r>
        <w:rPr>
          <w:rFonts w:ascii="Times New Roman" w:cs="Times New Roman" w:eastAsia="Times New Roman" w:hAnsi="Times New Roman"/>
          <w:sz w:val="21"/>
          <w:szCs w:val="21"/>
          <w:color w:val="auto"/>
        </w:rPr>
        <w:t>This Statement is being filed jointly by the following persons (each, a "Reporting Person," and, collectively, the "Reporting Persons"): (i) Jabbok Schlacks, the Co-Founder, Chief Executive Officer and Director of the Issuer and</w:t>
      </w:r>
    </w:p>
    <w:p>
      <w:pPr>
        <w:ind w:left="920"/>
        <w:spacing w:after="0" w:line="231" w:lineRule="auto"/>
        <w:rPr>
          <w:sz w:val="20"/>
          <w:szCs w:val="20"/>
          <w:color w:val="auto"/>
        </w:rPr>
      </w:pPr>
      <w:r>
        <w:rPr>
          <w:rFonts w:ascii="Times New Roman" w:cs="Times New Roman" w:eastAsia="Times New Roman" w:hAnsi="Times New Roman"/>
          <w:sz w:val="22"/>
          <w:szCs w:val="22"/>
          <w:color w:val="auto"/>
        </w:rPr>
        <w:t>(ii) William J. Schlacks IV, Co-Founder, President, Director and Secretary of the Board of Directors (the "Board").</w:t>
      </w:r>
    </w:p>
    <w:p>
      <w:pPr>
        <w:ind w:left="920" w:right="300" w:hanging="912"/>
        <w:spacing w:after="0" w:line="247" w:lineRule="auto"/>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Reporting Persons may be deemed to have acquired beneficial ownership over each other's shares pursuant to the Voting Agreement (defined below) described further in Item 6 below. In accordance with Rule 13d-1(k)(1)(iii) of the Securities Exchange Act of 1934, as amended (the "Exchange Act"), the Reporting Persons have executed a Joint Filing Agreement (as defined below), a copy of which is filed as Exhibit 1 to this Statement.</w:t>
      </w:r>
    </w:p>
    <w:p>
      <w:pPr>
        <w:spacing w:after="0" w:line="7"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5710 Bull Run Drive, Columbia, Missouri, 65201</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Jabbok Schlacks and William J. Schlacks IV are the co-founders of the Issuer (the "Co-Founders"). Jabbok Schlacks</w:t>
      </w:r>
    </w:p>
    <w:p>
      <w:pPr>
        <w:spacing w:after="0" w:line="25" w:lineRule="exact"/>
        <w:rPr>
          <w:rFonts w:ascii="Times New Roman" w:cs="Times New Roman" w:eastAsia="Times New Roman" w:hAnsi="Times New Roman"/>
          <w:sz w:val="22"/>
          <w:szCs w:val="22"/>
          <w:color w:val="auto"/>
        </w:rPr>
      </w:pPr>
    </w:p>
    <w:p>
      <w:pPr>
        <w:ind w:left="920" w:right="40" w:hanging="912"/>
        <w:spacing w:after="0" w:line="184"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has served as Chief Executive Officer and a member of the Board since 2015. William J. Schlacks IV has served as President and a member of the Board since 2015. The business address for each of the Reporting Persons is 5710 Bull Run Drive, Columbia, Missouri, 65201.</w:t>
      </w:r>
    </w:p>
    <w:p>
      <w:pPr>
        <w:spacing w:after="0" w:line="18" w:lineRule="exact"/>
        <w:rPr>
          <w:rFonts w:ascii="Times New Roman" w:cs="Times New Roman" w:eastAsia="Times New Roman" w:hAnsi="Times New Roman"/>
          <w:sz w:val="42"/>
          <w:szCs w:val="42"/>
          <w:color w:val="auto"/>
          <w:vertAlign w:val="subscript"/>
        </w:rPr>
      </w:pPr>
    </w:p>
    <w:p>
      <w:pPr>
        <w:ind w:left="920" w:right="7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 Reporting Person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 Reporting Person has been party to a civil proceeding of a judicial or administrative</w:t>
      </w:r>
    </w:p>
    <w:p>
      <w:pPr>
        <w:spacing w:after="0" w:line="14" w:lineRule="exact"/>
        <w:rPr>
          <w:rFonts w:ascii="Times New Roman" w:cs="Times New Roman" w:eastAsia="Times New Roman" w:hAnsi="Times New Roman"/>
          <w:sz w:val="39"/>
          <w:szCs w:val="39"/>
          <w:color w:val="auto"/>
          <w:vertAlign w:val="subscript"/>
        </w:rPr>
      </w:pPr>
    </w:p>
    <w:p>
      <w:pPr>
        <w:ind w:left="920" w:right="200" w:hanging="912"/>
        <w:spacing w:after="0" w:line="184"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body of competent jurisdiction and as a result of such proceeding was or is subject to a judgment, decree or final order enjoining further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Jabbok Schlacks and William J. Schlacks IV are each citizens of the United States.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100"/>
        <w:spacing w:after="0" w:line="235" w:lineRule="auto"/>
        <w:rPr>
          <w:sz w:val="20"/>
          <w:szCs w:val="20"/>
          <w:color w:val="auto"/>
        </w:rPr>
      </w:pPr>
      <w:r>
        <w:rPr>
          <w:rFonts w:ascii="Times New Roman" w:cs="Times New Roman" w:eastAsia="Times New Roman" w:hAnsi="Times New Roman"/>
          <w:sz w:val="22"/>
          <w:szCs w:val="22"/>
          <w:color w:val="auto"/>
        </w:rPr>
        <w:t>The responses to Items 4 and 6 of this Statement are incorporated herein by reference. The Reporting Persons each acquired the Class A common stock and Class B common stock beneficially owned by each of them respectively using personal funds and/or as compensation for serving as an executive officer and member of Board of the Issuer, including the vesting of various equity compensation awards in connection with each of their respective service as an executive officer and director of the Issuer. In addition, each of the Reporting Persons may be deemed to have acquired beneficial ownership over each other's shares of common stock pursuant to the Voting Agreement described further in Item 6 below.</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21"/>
          <w:szCs w:val="21"/>
          <w:color w:val="auto"/>
        </w:rPr>
        <w:t>The information set forth in Items 3 and 6 of this Statement is hereby incorporated by reference into this Item 4. The Reporting Persons acquired all of their securities for investment purposes and are being held as a long-term investment. The Reporting Persons intend to continuously review their investment in the Issuer and may in the future determine to acquire additional securities of the Issuer or dispose of the securities of the Issuer owned by them or take any other available course of action, including surrendering or selling shares back to the Issuer for tax withholding obligations. Any actions the Reporting Persons might each undertake may be made at any time and from time to time without prior notice and will be dependent upon each of their respective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 Any transactions in common stock of the Issuer by either of the Reporting Persons pursuant to the Voting Agreement with respect to shares of Class A common stock and Class B common stock that they each hold may be taken at any time. The Reporting Persons, subject to certain provisions of the law, may each acquire additional securities of the Issuer, or retain or sell all or a portion of the securities then held, in the open market or in privately negotiated transactions. In addition, each of Jabbok Schlacks, including in his positions as Chief Executive Officer and member of the Board, and William J. Schlacks IV, including in his positions as President, member of the Board and Board Secretary, may engage in discussions with other members of management, the Board, and stockholders of the Issuer and other relevant parties or encourage, cause or seek to cause the Issuer or such persons to consider or explore extraordinary corporate transactions, such as: a merger, reorganization or take-private transaction that could result in the de-listing or de-</w:t>
      </w:r>
    </w:p>
    <w:p>
      <w:pPr>
        <w:sectPr>
          <w:pgSz w:w="11900" w:h="16838" w:orient="portrait"/>
          <w:cols w:equalWidth="0" w:num="1">
            <w:col w:w="11160"/>
          </w:cols>
          <w:pgMar w:left="360" w:top="110" w:right="379" w:bottom="0" w:gutter="0" w:footer="0" w:header="0"/>
        </w:sectPr>
      </w:pPr>
    </w:p>
    <w:bookmarkStart w:id="4" w:name="page5"/>
    <w:bookmarkEnd w:id="4"/>
    <w:p>
      <w:pPr>
        <w:ind w:left="920"/>
        <w:spacing w:after="0" w:line="232" w:lineRule="auto"/>
        <w:rPr>
          <w:sz w:val="20"/>
          <w:szCs w:val="20"/>
          <w:color w:val="auto"/>
        </w:rPr>
      </w:pPr>
      <w:r>
        <w:rPr>
          <w:rFonts w:ascii="Times New Roman" w:cs="Times New Roman" w:eastAsia="Times New Roman" w:hAnsi="Times New Roman"/>
          <w:sz w:val="22"/>
          <w:szCs w:val="22"/>
          <w:color w:val="auto"/>
        </w:rPr>
        <w:t>registration of the Class A Common Stock; security offerings and/or stock repurchases by the Issuer; sales or acquisitions of assets or businesses; changes to the capitalization or dividend policy of the Issuer; or other material changes to the Issuer's business or corporate structure, including changes in management or the composition of the Board. Other than as described above, each of the Reporting Persons do not currently have any plans or proposals that relate to, or would result in, any of the matters listed in Items 4(a)-(j) of Schedule 13D, although, depending on the factors discussed herein, the Reporting Persons may change each of their respective purpose or formulate different plans or proposals with respect thereto at any time. Jabbok Schlacks, including in his positions as Chief Executive Officer, member of the Board, and William J. Schlacks IV, including in his positions as President, member of the Board and Board Secretary, each participate in deliberations of the Issuer's senior management in the normal course of the Issuer's business that could involve any of the matters set forth in Items 4(a)-(j) of Schedule 13D from time to time, and, in keeping with each of their respective fiduciary duties as an officer and director, may make proposals or recommendations to the Board that could involve such matters from time to time. In addition, as members of the Issuer's senior management, each of the Reporting Persons participates in Issuer compensatory plans, including plans pursuant to which awards of equity securities are made (including to each of the Reporting Persons), in the ordinary course of business. As a result of the Voting Agreement, the Reporting Persons may be deemed a group for purposes of Section 13(d)(3) of the Exchange Act.</w:t>
      </w:r>
    </w:p>
    <w:p>
      <w:pPr>
        <w:spacing w:after="0" w:line="3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80"/>
        <w:spacing w:after="0" w:line="243" w:lineRule="auto"/>
        <w:rPr>
          <w:sz w:val="20"/>
          <w:szCs w:val="20"/>
          <w:color w:val="auto"/>
        </w:rPr>
      </w:pPr>
      <w:r>
        <w:rPr>
          <w:rFonts w:ascii="Times New Roman" w:cs="Times New Roman" w:eastAsia="Times New Roman" w:hAnsi="Times New Roman"/>
          <w:sz w:val="21"/>
          <w:szCs w:val="21"/>
          <w:color w:val="auto"/>
        </w:rPr>
        <w:t>(a)-(b) The aggregate number and percentage of shares of Class A common stock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Statement and are incorporated herein by reference. Beneficial ownership of shares of Class A common stock, par value $0.00000125 per share, includes shares of Class A common stock which may be acquired upon the conversion of shares of the Issuer's Class B common stock, par value $0.00000125 per share (together with the Class A common stock, the "Common Stock"). Each share of Class A common stock is entitled to one vote per share on all matters presented for a vote. Each share of Class B common stock is entitled to 20 votes per share on all matters on which shareholders generally are entitled to vote. Holders of shares of Class A common stock and Class B common stock will vote together as a single class on all matters submitted to a vote of shareholders, except as otherwise required by applicable law or as specified in the Issuer's amended and restated certificate of formation. As of the date hereof, the</w:t>
      </w:r>
    </w:p>
    <w:p>
      <w:pPr>
        <w:spacing w:after="0" w:line="6" w:lineRule="exact"/>
        <w:rPr>
          <w:sz w:val="20"/>
          <w:szCs w:val="20"/>
          <w:color w:val="auto"/>
        </w:rPr>
      </w:pPr>
    </w:p>
    <w:p>
      <w:pPr>
        <w:ind w:left="920" w:right="20" w:hanging="912"/>
        <w:spacing w:after="0" w:line="231"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Persons each beneficially own 34,828,852 shares of Class A common stock, representing beneficial ownership of approximately 16.2% of the outstanding Class A common stock, and approximately 13.8% of the total outstanding Common Stock, consisting of: (i) 18,784,472 shares of Class B common stock held by each of the Reporting Persons individually, (ii) 1,687,832 shares of Class B common stock issuable upon the exercise of stock options held by each of the Reporting Persons individually that are currently exercisable, (iii) 50,000 shares of Class A common stock held by each of the Reporting Persons individually, (iv) 13,592,263 shares of Class A common stock held by EQS Heritage Holdings LLC and (v) 714,285 shares of Class A common stock held by EQS Legacy Holdings LLC. Each of the Reporting Persons is the Managing Member of EQS Heritage Holdings LLC and EQS Legacy Holdings LLC, and has controlling voting and dispositive power with regard to the shares held by such entities. The Reporting Persons have agreed to vote together as a group and accordingly may be deemed to have beneficial ownership of each other's stock. The percentages used in this Statement are calculated based upon a total of 252,375,097 shares of Class A common stock and Class B common stock outstanding as of May 10, 2026, as reported in the Issuer's Form 10-Q for the quarter ended March 31, 2026, filed on May 14, 2026.</w:t>
      </w:r>
    </w:p>
    <w:p>
      <w:pPr>
        <w:spacing w:after="0" w:line="2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5(a) of this Schedule 13D is hereby incorporated by reference.</w:t>
      </w:r>
    </w:p>
    <w:p>
      <w:pPr>
        <w:spacing w:after="0" w:line="44" w:lineRule="exact"/>
        <w:rPr>
          <w:rFonts w:ascii="Times New Roman" w:cs="Times New Roman" w:eastAsia="Times New Roman" w:hAnsi="Times New Roman"/>
          <w:sz w:val="22"/>
          <w:szCs w:val="22"/>
          <w:color w:val="auto"/>
        </w:rPr>
      </w:pPr>
    </w:p>
    <w:p>
      <w:pPr>
        <w:ind w:left="920" w:right="12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Immediately prior to the completion of the Issuer's initial public offering (the "IPO") but following the conversion of all shares of Class A common stock then held by Jabbok Schlacks and William J. Schlacks IV into shares of Class B common stock, there were 213,713,950 shares of Class A common stock and 37,568,944 shares of Class B common stock outstanding. In connection with the Issuer's IPO, as described further in Item 6 below, Jabbok Schlacks and William J. Schlacks IV entered into a Voting Agreement pursuant to which each may be deemed to have acquired</w:t>
      </w:r>
    </w:p>
    <w:p>
      <w:pPr>
        <w:spacing w:after="0" w:line="1" w:lineRule="exact"/>
        <w:rPr>
          <w:rFonts w:ascii="Times New Roman" w:cs="Times New Roman" w:eastAsia="Times New Roman" w:hAnsi="Times New Roman"/>
          <w:sz w:val="22"/>
          <w:szCs w:val="22"/>
          <w:color w:val="auto"/>
        </w:rPr>
      </w:pPr>
    </w:p>
    <w:p>
      <w:pPr>
        <w:ind w:left="920" w:right="60" w:hanging="912"/>
        <w:spacing w:after="0" w:line="244"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beneficial ownership over the other's shares of Common Stock through the Voting Proxies. On January 26, 2026, the Issuer completed its IPO of an aggregate of 35,075,000 shares of its Class A common stock, par value $0.00000125 per share, including 4,575,000 shares of Class A common stock purchased from certain selling shareholders. On June 15, 2026, Jabbok Schlacks and William J. Schlacks IV each purchased 50,000 shares of Class A common stock in open market and/or brokerage transactions. Other than the transactions disclosed in this Item 5(c), the Reporting Persons have not effected any transactions in the securities of the Issuer during the past 60 days.</w:t>
      </w:r>
    </w:p>
    <w:p>
      <w:pPr>
        <w:spacing w:after="0" w:line="14"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the best knowledge of the Reporting Persons, no one other than the Reporting Persons has the right to receive or</w:t>
      </w:r>
    </w:p>
    <w:p>
      <w:pPr>
        <w:spacing w:after="0" w:line="14" w:lineRule="exact"/>
        <w:rPr>
          <w:rFonts w:ascii="Times New Roman" w:cs="Times New Roman" w:eastAsia="Times New Roman" w:hAnsi="Times New Roman"/>
          <w:sz w:val="21"/>
          <w:szCs w:val="21"/>
          <w:color w:val="auto"/>
        </w:rPr>
      </w:pPr>
    </w:p>
    <w:p>
      <w:pPr>
        <w:ind w:left="920" w:right="400" w:hanging="912"/>
        <w:spacing w:after="0" w:line="237"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power to direct the receipt of dividends from, or the proceeds from the sale of, the Class A common stock and Class B common stock reported herein as beneficially owned by the Reporting Persons.</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20"/>
        <w:spacing w:after="0" w:line="248" w:lineRule="auto"/>
        <w:rPr>
          <w:sz w:val="20"/>
          <w:szCs w:val="20"/>
          <w:color w:val="auto"/>
        </w:rPr>
      </w:pPr>
      <w:r>
        <w:rPr>
          <w:rFonts w:ascii="Times New Roman" w:cs="Times New Roman" w:eastAsia="Times New Roman" w:hAnsi="Times New Roman"/>
          <w:sz w:val="21"/>
          <w:szCs w:val="21"/>
          <w:color w:val="auto"/>
        </w:rPr>
        <w:t>Executive and Director Compensation: Each of Jabbok Schlacks, including in his positions as Chief Executive Officer, member of the Board, and William J. Schlacks IV, including in his positions as President, member of the Board and Board Secretary has in the past and may in the future receive compensation in the form of common stock, restricted stock units, stock options or other securities convertible into common stock of the Issuer. 0 Voting Agreement: In connection with the Issuer's IPO, the Reporting Persons entered into a voting agreement (the "Voting Agreement"). The Voting Agreement provides that, with respect to any matter submitted to our shareholders for a vote, each Co-Founder will agree to vote or exercise his rights to consent with respect to all shares beneficially</w:t>
      </w:r>
    </w:p>
    <w:p>
      <w:pPr>
        <w:sectPr>
          <w:pgSz w:w="11900" w:h="16838" w:orient="portrait"/>
          <w:cols w:equalWidth="0" w:num="1">
            <w:col w:w="11140"/>
          </w:cols>
          <w:pgMar w:left="360" w:top="112" w:right="399" w:bottom="0" w:gutter="0" w:footer="0" w:header="0"/>
        </w:sectPr>
      </w:pPr>
    </w:p>
    <w:bookmarkStart w:id="5" w:name="page6"/>
    <w:bookmarkEnd w:id="5"/>
    <w:p>
      <w:pPr>
        <w:ind w:left="920" w:right="40"/>
        <w:spacing w:after="0" w:line="231" w:lineRule="auto"/>
        <w:rPr>
          <w:sz w:val="20"/>
          <w:szCs w:val="20"/>
          <w:color w:val="auto"/>
        </w:rPr>
      </w:pPr>
      <w:r>
        <w:rPr>
          <w:rFonts w:ascii="Times New Roman" w:cs="Times New Roman" w:eastAsia="Times New Roman" w:hAnsi="Times New Roman"/>
          <w:sz w:val="22"/>
          <w:szCs w:val="22"/>
          <w:color w:val="auto"/>
        </w:rPr>
        <w:t>owned by him together with, and in the same manner as, the other Co-Founder as mutually agreed by the Co-Founders. In addition, each Founder agreed that he will not, without the consent of the other Co-Founder, grant any proxies or enter into any voting trust or other agreement or arrangement with respect to shares beneficially owned by him to the extent such voting trust, agreement or arrangement would be inconsistent with the Voting Agreement. The Voting Agreement may be terminated at any time by either Co-Founder upon written notice to the other Co-Founder with a copy to the Issuer. The foregoing description of the Voting Agreement does not purport to be complete and is qualified in its entirety by reference to the full text of the Voting Agreement, which is filed as Exhibit 2 hereto and is incorporated by reference herein. Lock-Up Agreement: In connection with the IPO, each Reporting Person, subject to limited exceptions, for a period of 180 days after the date of the final prospectus relating to the IPO, not to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(collectively with the shares of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in each case, without the prior written consent of Goldman Sachs &amp; Co. LLC may waive the requirements of these lock-up agreements at any time in its sole discretion. The foregoing description of the Lockup Agreement does not purport to be complete and is qualified in its entirety by reference to the full text of the Lockup Agreement, which is filed as Exhibit 3 hereto and is incorporated by reference herein. Division of Profits: The Reporting Persons have an arrangement with Naveen Bhatia ("Mr. Bhatia") under which Mr. Bhatia will receive one-third of the carried interest of EQS Heritage Holdings LLC, which holds 13,592,263 shares of Class A common stock. Joint Filing Agreement: Pursuant to Rule 13d-1(k) promulgated under the Exchange Act, the Reporting Persons have entered into an agreement, attached hereto as Exhibit 1, with respect to the joint filing of this Schedule 13D and any amendment or amendments hereto (the "Joint Filing Agreement").</w:t>
      </w:r>
    </w:p>
    <w:p>
      <w:pPr>
        <w:spacing w:after="0" w:line="4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line="251" w:lineRule="auto"/>
        <w:rPr>
          <w:sz w:val="20"/>
          <w:szCs w:val="20"/>
          <w:color w:val="auto"/>
        </w:rPr>
      </w:pPr>
      <w:r>
        <w:rPr>
          <w:rFonts w:ascii="Times New Roman" w:cs="Times New Roman" w:eastAsia="Times New Roman" w:hAnsi="Times New Roman"/>
          <w:sz w:val="21"/>
          <w:szCs w:val="21"/>
          <w:color w:val="auto"/>
        </w:rPr>
        <w:t>Exhibit 1. Joint Filing Agreement, dated as of June 23, 2026, by and among the Reporting Persons Exhibit 2. Voting Agreement, dated as of January 22, 2026, by and among the Reporting Persons Exhibit 3. Form of Lock-Up Agreement (incorporated herein by reference to Schedule IV to the Form of Underwriting Agreement, filed as Exhibit 1.1 to the Issuer's pre-effective Amendment No. 1 to the Issuer's Registration Statement on Form S-1/A filed on January 13, 2026) https://www.sec.gov/Archives/edgar/data/1693736/000162828026001903/exhibit11-sx1a.htm</w:t>
      </w:r>
    </w:p>
    <w:p>
      <w:pPr>
        <w:spacing w:after="0" w:line="2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Jabbok Schlacks</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Jabbok Schlacks</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Jabbok Schlacks</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William J. Schlacks IV</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J. Schlacks IV</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William J. Schlacks IV</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ectPr>
          <w:pgSz w:w="11900" w:h="16838" w:orient="portrait"/>
          <w:cols w:equalWidth="0" w:num="1">
            <w:col w:w="11140"/>
          </w:cols>
          <w:pgMar w:left="360" w:top="111" w:right="399" w:bottom="1440" w:gutter="0" w:footer="0" w:header="0"/>
        </w:sectPr>
      </w:pPr>
    </w:p>
    <w:bookmarkStart w:id="6" w:name="page7"/>
    <w:bookmarkEnd w:id="6"/>
    <w:p>
      <w:pPr>
        <w:ind w:left="10540"/>
        <w:spacing w:after="0"/>
        <w:rPr>
          <w:sz w:val="20"/>
          <w:szCs w:val="20"/>
          <w:color w:val="auto"/>
        </w:rPr>
      </w:pPr>
      <w:r>
        <w:rPr>
          <w:rFonts w:ascii="Times New Roman" w:cs="Times New Roman" w:eastAsia="Times New Roman" w:hAnsi="Times New Roman"/>
          <w:sz w:val="17"/>
          <w:szCs w:val="17"/>
          <w:b w:val="1"/>
          <w:bCs w:val="1"/>
          <w:u w:val="single" w:color="auto"/>
          <w:color w:val="auto"/>
        </w:rPr>
        <w:t>Exhibit 1</w:t>
      </w:r>
    </w:p>
    <w:p>
      <w:pPr>
        <w:spacing w:after="0" w:line="241"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23, 2026</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20" w:val="left"/>
        </w:tabs>
        <w:rPr>
          <w:sz w:val="20"/>
          <w:szCs w:val="20"/>
          <w:color w:val="auto"/>
        </w:rPr>
      </w:pPr>
      <w:r>
        <w:rPr>
          <w:rFonts w:ascii="Times New Roman" w:cs="Times New Roman" w:eastAsia="Times New Roman" w:hAnsi="Times New Roman"/>
          <w:sz w:val="18"/>
          <w:szCs w:val="18"/>
          <w:color w:val="auto"/>
        </w:rPr>
        <w:t>By:</w:t>
        <w:tab/>
        <w:t>/s/ Jabbok Schlacks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tab/>
        <w:t>Jabbok Schlacks</w:t>
      </w:r>
    </w:p>
    <w:p>
      <w:pPr>
        <w:spacing w:after="0" w:line="200" w:lineRule="exact"/>
        <w:rPr>
          <w:sz w:val="20"/>
          <w:szCs w:val="20"/>
          <w:color w:val="auto"/>
        </w:rPr>
      </w:pPr>
    </w:p>
    <w:p>
      <w:pPr>
        <w:spacing w:after="0" w:line="236" w:lineRule="exact"/>
        <w:rPr>
          <w:sz w:val="20"/>
          <w:szCs w:val="20"/>
          <w:color w:val="auto"/>
        </w:rPr>
      </w:pPr>
    </w:p>
    <w:p>
      <w:pPr>
        <w:ind w:left="5640"/>
        <w:spacing w:after="0"/>
        <w:tabs>
          <w:tab w:leader="none" w:pos="6120" w:val="left"/>
        </w:tabs>
        <w:rPr>
          <w:sz w:val="20"/>
          <w:szCs w:val="20"/>
          <w:color w:val="auto"/>
        </w:rPr>
      </w:pPr>
      <w:r>
        <w:rPr>
          <w:rFonts w:ascii="Times New Roman" w:cs="Times New Roman" w:eastAsia="Times New Roman" w:hAnsi="Times New Roman"/>
          <w:sz w:val="18"/>
          <w:szCs w:val="18"/>
          <w:color w:val="auto"/>
        </w:rPr>
        <w:t>By:</w:t>
        <w:tab/>
        <w:t>/s/ William J. Schlacks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7"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William J. Schlacks IV</w:t>
      </w:r>
    </w:p>
    <w:p>
      <w:pPr>
        <w:sectPr>
          <w:pgSz w:w="11900" w:h="16838" w:orient="portrait"/>
          <w:cols w:equalWidth="0" w:num="1">
            <w:col w:w="11240"/>
          </w:cols>
          <w:pgMar w:left="320" w:top="333"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5"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color w:val="auto"/>
        </w:rPr>
        <w:t>VOTING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January 22, 2026 between Jabbok Schlacks, a natural person (“</w:t>
      </w:r>
      <w:r>
        <w:rPr>
          <w:rFonts w:ascii="Times New Roman" w:cs="Times New Roman" w:eastAsia="Times New Roman" w:hAnsi="Times New Roman"/>
          <w:sz w:val="18"/>
          <w:szCs w:val="18"/>
          <w:b w:val="1"/>
          <w:bCs w:val="1"/>
          <w:color w:val="auto"/>
        </w:rPr>
        <w:t>JS</w:t>
      </w:r>
      <w:r>
        <w:rPr>
          <w:rFonts w:ascii="Times New Roman" w:cs="Times New Roman" w:eastAsia="Times New Roman" w:hAnsi="Times New Roman"/>
          <w:sz w:val="18"/>
          <w:szCs w:val="18"/>
          <w:color w:val="auto"/>
        </w:rPr>
        <w:t>”), and William J. Schlacks IV, a natural person (“</w:t>
      </w:r>
      <w:r>
        <w:rPr>
          <w:rFonts w:ascii="Times New Roman" w:cs="Times New Roman" w:eastAsia="Times New Roman" w:hAnsi="Times New Roman"/>
          <w:sz w:val="18"/>
          <w:szCs w:val="18"/>
          <w:b w:val="1"/>
          <w:bCs w:val="1"/>
          <w:color w:val="auto"/>
        </w:rPr>
        <w:t>WS</w:t>
      </w:r>
      <w:r>
        <w:rPr>
          <w:rFonts w:ascii="Times New Roman" w:cs="Times New Roman" w:eastAsia="Times New Roman" w:hAnsi="Times New Roman"/>
          <w:sz w:val="18"/>
          <w:szCs w:val="18"/>
          <w:color w:val="auto"/>
        </w:rPr>
        <w:t>”). Each of JS and WS are referred to herein individually as a “</w:t>
      </w:r>
      <w:r>
        <w:rPr>
          <w:rFonts w:ascii="Times New Roman" w:cs="Times New Roman" w:eastAsia="Times New Roman" w:hAnsi="Times New Roman"/>
          <w:sz w:val="18"/>
          <w:szCs w:val="18"/>
          <w:b w:val="1"/>
          <w:bCs w:val="1"/>
          <w:color w:val="auto"/>
        </w:rPr>
        <w:t>Founder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Founders</w:t>
      </w:r>
      <w:r>
        <w:rPr>
          <w:rFonts w:ascii="Times New Roman" w:cs="Times New Roman" w:eastAsia="Times New Roman" w:hAnsi="Times New Roman"/>
          <w:sz w:val="18"/>
          <w:szCs w:val="18"/>
          <w:color w:val="auto"/>
        </w:rPr>
        <w:t>”. Reference is made to that certain Amended and Restated Certificate of Formation of EquipmentShare.com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to be dated as of or around January 26, 2026 (as amended from time to time,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Capitalized terms used but undefined herein shall have the meaning ascribed to such terms in the Charter.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JS and WS are the beneficial owners of shares of the Corporation’s Common Stock (the “</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and</w:t>
      </w:r>
    </w:p>
    <w:p>
      <w:pPr>
        <w:spacing w:after="0" w:line="229" w:lineRule="exact"/>
        <w:rPr>
          <w:sz w:val="20"/>
          <w:szCs w:val="20"/>
          <w:color w:val="auto"/>
        </w:rPr>
      </w:pPr>
    </w:p>
    <w:p>
      <w:pPr>
        <w:jc w:val="both"/>
        <w:ind w:right="40" w:firstLine="648"/>
        <w:spacing w:after="0" w:line="312" w:lineRule="auto"/>
        <w:rPr>
          <w:sz w:val="20"/>
          <w:szCs w:val="20"/>
          <w:color w:val="auto"/>
        </w:rPr>
      </w:pPr>
      <w:r>
        <w:rPr>
          <w:rFonts w:ascii="Times New Roman" w:cs="Times New Roman" w:eastAsia="Times New Roman" w:hAnsi="Times New Roman"/>
          <w:sz w:val="17"/>
          <w:szCs w:val="17"/>
          <w:color w:val="auto"/>
        </w:rPr>
        <w:t>WHEREAS, in connection with the Corporation’s initial public offering, the Founders have agreed to provide for the future voting of the Founder Shares and any other shares of the Corporation’s capital stock held by or on behalf of the Founders (collectively, the “</w:t>
      </w:r>
      <w:r>
        <w:rPr>
          <w:rFonts w:ascii="Times New Roman" w:cs="Times New Roman" w:eastAsia="Times New Roman" w:hAnsi="Times New Roman"/>
          <w:sz w:val="17"/>
          <w:szCs w:val="17"/>
          <w:b w:val="1"/>
          <w:bCs w:val="1"/>
          <w:color w:val="auto"/>
        </w:rPr>
        <w:t>Founder Shares</w:t>
      </w:r>
      <w:r>
        <w:rPr>
          <w:rFonts w:ascii="Times New Roman" w:cs="Times New Roman" w:eastAsia="Times New Roman" w:hAnsi="Times New Roman"/>
          <w:sz w:val="17"/>
          <w:szCs w:val="17"/>
          <w:color w:val="auto"/>
        </w:rPr>
        <w:t>”) as set forth below.</w:t>
      </w:r>
    </w:p>
    <w:p>
      <w:pPr>
        <w:spacing w:after="0" w:line="14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these premises and for other good and valuable consideration, the receipt and sufficiency of which are hereby acknowledged, the Founders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r>
        <w:rPr>
          <w:rFonts w:ascii="Times New Roman" w:cs="Times New Roman" w:eastAsia="Times New Roman" w:hAnsi="Times New Roman"/>
          <w:sz w:val="12"/>
          <w:szCs w:val="12"/>
          <w:color w:val="auto"/>
        </w:rPr>
        <w:t>oting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Voting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850"/>
        <w:spacing w:after="0" w:line="255" w:lineRule="auto"/>
        <w:tabs>
          <w:tab w:leader="none" w:pos="13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Founder hereby agrees to vote or exercise their respective rights to consent with respect to all Founder Shares that such Founder is entitled to vote at the time that any vote or action by written consent is sought with respect to any matter submitted for the consideration and vote of the stockholders of the Corporation (each, a “</w:t>
      </w:r>
      <w:r>
        <w:rPr>
          <w:rFonts w:ascii="Times New Roman" w:cs="Times New Roman" w:eastAsia="Times New Roman" w:hAnsi="Times New Roman"/>
          <w:sz w:val="18"/>
          <w:szCs w:val="18"/>
          <w:b w:val="1"/>
          <w:bCs w:val="1"/>
          <w:color w:val="auto"/>
        </w:rPr>
        <w:t>Stockholder Vote</w:t>
      </w:r>
      <w:r>
        <w:rPr>
          <w:rFonts w:ascii="Times New Roman" w:cs="Times New Roman" w:eastAsia="Times New Roman" w:hAnsi="Times New Roman"/>
          <w:sz w:val="18"/>
          <w:szCs w:val="18"/>
          <w:color w:val="auto"/>
        </w:rPr>
        <w:t xml:space="preserve">”) together with, and in the same manner as, the other Founder as mutually agreed by them. For clarity, for so long as this Agreement remains in effect, to the extent any Founder Share is voted, in accordance with the mutual agreement of the Founders, either “For”/”Yes” or “Against”/“No” in respect of any matter for which a Stockholder Vote applies, then all Founder Shares shall be voted in an identical manner;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herein shall be construed to require the Founders to vote either “For”/”Yes” or “Against”/“No” in respect of any particular Stockholder Vote so long as all Founder Shares are voted together.</w:t>
      </w:r>
    </w:p>
    <w:p>
      <w:pPr>
        <w:spacing w:after="0" w:line="188" w:lineRule="exact"/>
        <w:rPr>
          <w:rFonts w:ascii="Times New Roman" w:cs="Times New Roman" w:eastAsia="Times New Roman" w:hAnsi="Times New Roman"/>
          <w:sz w:val="18"/>
          <w:szCs w:val="18"/>
          <w:color w:val="auto"/>
        </w:rPr>
      </w:pPr>
    </w:p>
    <w:p>
      <w:pPr>
        <w:ind w:right="100" w:firstLine="850"/>
        <w:spacing w:after="0" w:line="258" w:lineRule="auto"/>
        <w:tabs>
          <w:tab w:leader="none" w:pos="13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Founder agrees that all Founder Shares registered in his name or beneficially owned by him (including any shares of the Corporation’s capital stock held by any trust formed solely for the benefit of such Founder or such Founder’s family members, any partnership, corporation, foundation, charity or other entity, so long as such Founder controls such trust, partnership, corporation, foundation, charity or other entity) as of the date hereof, and any such Founder Shares acquired by such Founder after the date hereof, will be subject to, and voted in accordance with, Section 1.01(a).</w:t>
      </w:r>
    </w:p>
    <w:p>
      <w:pPr>
        <w:spacing w:after="0" w:line="183" w:lineRule="exact"/>
        <w:rPr>
          <w:rFonts w:ascii="Times New Roman" w:cs="Times New Roman" w:eastAsia="Times New Roman" w:hAnsi="Times New Roman"/>
          <w:sz w:val="18"/>
          <w:szCs w:val="18"/>
          <w:color w:val="auto"/>
        </w:rPr>
      </w:pPr>
    </w:p>
    <w:p>
      <w:pPr>
        <w:ind w:right="120" w:firstLine="850"/>
        <w:spacing w:after="0" w:line="266" w:lineRule="auto"/>
        <w:tabs>
          <w:tab w:leader="none" w:pos="13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Founder shall not, without the prior written consent of the other Founder, directly or indirectly, grant any proxies or enter into any voting trust or other agreement or arrangement with respect to the voting of any Founder Shares to the extent such voting trust, other agreement or arrangement would be inconsistent with the agreements set forth in Section 1.01(a).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ind w:right="-7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2"/>
          <w:szCs w:val="12"/>
          <w:color w:val="auto"/>
        </w:rPr>
        <w:t>iscellaneous</w:t>
      </w:r>
    </w:p>
    <w:p>
      <w:pPr>
        <w:spacing w:after="0" w:line="20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Other Definitional and Interpretative Provisions.</w:t>
      </w:r>
      <w:r>
        <w:rPr>
          <w:rFonts w:ascii="Times New Roman" w:cs="Times New Roman" w:eastAsia="Times New Roman" w:hAnsi="Times New Roman"/>
          <w:sz w:val="18"/>
          <w:szCs w:val="18"/>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Any singular term in this Agreement shall be deemed to include the plural, and any plural term the singular. References to any Person include the successors and permitted assigns of that Person. References from or through any date mean, unless otherwise specified, from and including or through and including, respectively.</w:t>
      </w:r>
    </w:p>
    <w:p>
      <w:pPr>
        <w:spacing w:after="0" w:line="183"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The Founders will each execute and deliver, or cause to be executed and delivered, all further documents and instruments and use their respective best efforts to take, or cause to be taken, all actions and to do, or cause to be done, all things necessary, proper or advisable under applicable laws and regulations, to consummate and make effective the transactions contemplated by this Agreement.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Amendments; Termination</w:t>
      </w:r>
      <w:r>
        <w:rPr>
          <w:rFonts w:ascii="Times New Roman" w:cs="Times New Roman" w:eastAsia="Times New Roman" w:hAnsi="Times New Roman"/>
          <w:sz w:val="18"/>
          <w:szCs w:val="18"/>
          <w:color w:val="auto"/>
        </w:rPr>
        <w:t>. Any provision of this Agreement may be amended or waived if, but only if, such amendment or waiver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in writing and is signed, in the case of an amendment, by each party or in the case of a waiver, by the party against whom the waiver is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This Agreement may be terminated at any time by either Founder upon written notice to the other Founder, with a copy to the Corporation at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place of business.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All costs and expenses incurred in connection with this Agreement shall be paid by the party incurring such cost or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w:t>
      </w:r>
    </w:p>
    <w:p>
      <w:pPr>
        <w:spacing w:after="0" w:line="205"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The provisions of this Agreement shall be binding upon and inure to the benefit of the parties hereto and their respective successors and assigns.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shall be construed in accordance with and governed by the laws of the State of Texas.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Counterparts; Effectiveness</w:t>
      </w:r>
      <w:r>
        <w:rPr>
          <w:rFonts w:ascii="Times New Roman" w:cs="Times New Roman" w:eastAsia="Times New Roman" w:hAnsi="Times New Roman"/>
          <w:sz w:val="18"/>
          <w:szCs w:val="18"/>
          <w:color w:val="auto"/>
        </w:rPr>
        <w:t>. This Agreement may be signed in any number of counterparts, each of which shall be an original, with the same effect as if the signatures thereto and hereto were upon the same instrument. Delivery of an executed counterpart of a signature page of this Agreement by facsimile transmission or electronic transmission, including the use of any electronic signatures, shall be effective as delivery of a manually executed counterpart of this Agreement. This Agreement shall become effective when each party hereto shall have received counterparts hereof signed by all of the other parties hereto.</w:t>
      </w:r>
    </w:p>
    <w:p>
      <w:pPr>
        <w:spacing w:after="0" w:line="183" w:lineRule="exact"/>
        <w:rPr>
          <w:sz w:val="20"/>
          <w:szCs w:val="20"/>
          <w:color w:val="auto"/>
        </w:rPr>
      </w:pPr>
    </w:p>
    <w:p>
      <w:pPr>
        <w:jc w:val="both"/>
        <w:ind w:right="1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If any term, provision or covenant of this Agreement is held by a court of competent jurisdiction or other authority to be invalid, void or unenforceable, the remainder of the terms, provisions and covenants of this Agreement shall remain in full force and effect and shall in no way be affected, impaired or invalidated.</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The parties hereto agree that irreparable damage would occur in the event any provision of this Agreement is not performed in accordance with the terms hereof and that the parties shall be entitled to specific performance of the terms hereof in addition to any other remedy to which they are entitled at law or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day and year first above written.</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JABBOK SCHLACKS</w:t>
      </w:r>
    </w:p>
    <w:p>
      <w:pPr>
        <w:spacing w:after="0" w:line="25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Jabbok Schlacks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WILLIAM J. SCHLACKS IV</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William J. Schlacks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908685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780"/>
      </w:cols>
      <w:pgMar w:left="980" w:top="540"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4"/>
      <w:numFmt w:val="bullet"/>
      <w:start w:val="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2026-06-23T17:50:04Z</dcterms:created>
  <dcterms:modified xsi:type="dcterms:W3CDTF">2026-06-23T17:50:04Z</dcterms:modified>
</cp:coreProperties>
</file>