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EquipmentShare.com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$0.00000125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Insight Venture Partners IX,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8,335,492.00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8,335,492.00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8,335,492.00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set forth in this Schedule 13G are calculated based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214,806,153 shares of the Issuer's Class A common stock outstanding as of May 10, 2026, as reported in the Issuer's Quarterly Report on Form 10-Q filed with the Securities and Exchange Commission on May 14,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Insight Venture Partners IX (Co-Investors),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166,384.00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166,384.00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166,384.00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0940"/>
          </w:cols>
          <w:pgMar w:left="320" w:top="102" w:right="6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set forth in this Schedule 13G are calculated based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214,806,153 shares of the Issuer's Class A common stock outstanding as of May 10, 2026, as reported in the Issuer's Quarterly Report on Form 10-Q filed with the Securities and Exchange Commission on May 14,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Insight Venture Partners (Cayman) IX,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369"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8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8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4,141,707.00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4,141,707.00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4,141,707.00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80"/>
          </w:cols>
          <w:pgMar w:left="320" w:top="369" w:right="63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set forth in this Schedule 13G are calculated based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214,806,153 shares of the Issuer's Class A common stock outstanding as of May 10, 2026, as reported in the Issuer's Quarterly Report on Form 10-Q filed with the Securities and Exchange Commission on May 14, 2026.</w:t>
      </w:r>
    </w:p>
    <w:p>
      <w:pPr>
        <w:sectPr>
          <w:pgSz w:w="11900" w:h="16838" w:orient="portrait"/>
          <w:cols w:equalWidth="0" w:num="1">
            <w:col w:w="10940"/>
          </w:cols>
          <w:pgMar w:left="320" w:top="369" w:right="6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40"/>
          </w:cols>
          <w:pgMar w:left="320" w:top="369" w:right="639" w:bottom="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Insight Venture Partners (Delaware) IX,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189"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883,148.00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883,148.00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883,148.00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80"/>
          </w:cols>
          <w:pgMar w:left="320" w:top="189" w:right="63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set forth in this Schedule 13G are calculated based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214,806,153 shares of the Issuer's Class A common stock outstanding as of May 10, 2026, as reported in the Issuer's Quarterly Report on Form 10-Q filed with the Securities and Exchange Commission on May 14,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Insight Venture Associates IX,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940"/>
          </w:cols>
          <w:pgMar w:left="320" w:top="189" w:right="63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880" w:hanging="231"/>
        <w:spacing w:after="0" w:line="371" w:lineRule="auto"/>
        <w:tabs>
          <w:tab w:leader="none" w:pos="2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13,526,731.00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13,526,731.00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13,526,731.00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80"/>
          </w:cols>
          <w:pgMar w:left="320" w:top="112" w:right="63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set forth in this Schedule 13G are calculated based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214,806,153 shares of the Issuer's Class A common stock outstanding as of May 10, 2026, as reported in the Issuer's Quarterly Report on Form 10-Q filed with the Securities and Exchange Commission on May 14,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Insight Venture Associates IX,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13,526,731.00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13,526,731.00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940"/>
          </w:cols>
          <w:pgMar w:left="320" w:top="112" w:right="63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13,526,731.00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set forth in this Schedule 13G are calculated based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214,806,153 shares of the Issuer's Class A common stock outstanding as of May 10, 2026, as reported in the Issuer's Quarterly Report on Form 10-Q filed with the Securities and Exchange Commission on May 14,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Insight Holdings Group,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111"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8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8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13,526,731.00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13,526,731.00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13,526,731.00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780"/>
          </w:cols>
          <w:pgMar w:left="320" w:top="111" w:right="63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set forth in this Schedule 13G are calculated based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214,806,153 shares of the Issuer's Class A common stock outstanding as of May 10, 2026, as reported in the Issuer's Quarterly Report on Form 10-Q filed with the Securities and Exchange Commission on May 14, 2026.</w:t>
      </w:r>
    </w:p>
    <w:p>
      <w:pPr>
        <w:sectPr>
          <w:pgSz w:w="11900" w:h="16838" w:orient="portrait"/>
          <w:cols w:equalWidth="0" w:num="1">
            <w:col w:w="10940"/>
          </w:cols>
          <w:pgMar w:left="320" w:top="111" w:right="639" w:bottom="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EquipmentShare.com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5710 Bull Run Drive, Columbia, United States, 65201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0"/>
        <w:spacing w:after="0" w:line="247" w:lineRule="auto"/>
        <w:rPr>
          <w:sz w:val="20"/>
          <w:szCs w:val="20"/>
          <w:color w:val="auto"/>
        </w:rPr>
      </w:pPr>
      <w:r>
        <w:rPr>
          <w:rFonts w:ascii="Times New Roman" w:cs="Times New Roman" w:eastAsia="Times New Roman" w:hAnsi="Times New Roman"/>
          <w:sz w:val="21"/>
          <w:szCs w:val="21"/>
          <w:color w:val="auto"/>
        </w:rPr>
        <w:t>This Schedule 13G is being filed by the following persons (each a "Reporting Person" and, collectively, the "Reporting Persons"): (i) Insight Venture Partners IX, L.P., a Cayman Islands exempted limited partnership ("IVP IX"); (ii) Insight Venture Partners (Cayman) IX, L.P., a Cayman Islands exempted limited partnership ("Cayman IX"); (iii) Insight Venture Partners (Delaware) IX, L.P., a Delaware limited partnership ("Delaware IX"); (iv) Insight</w:t>
      </w:r>
    </w:p>
    <w:p>
      <w:pPr>
        <w:spacing w:after="0" w:line="2" w:lineRule="exact"/>
        <w:rPr>
          <w:sz w:val="20"/>
          <w:szCs w:val="20"/>
          <w:color w:val="auto"/>
        </w:rPr>
      </w:pPr>
    </w:p>
    <w:p>
      <w:pPr>
        <w:ind w:left="920" w:hanging="912"/>
        <w:spacing w:after="0" w:line="244" w:lineRule="auto"/>
        <w:tabs>
          <w:tab w:leader="none" w:pos="9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Venture Partners IX (Co-Investors), L.P., a Cayman Islands exempted limited partnership ("Co-Investors IX", and together with IVP IX, Cayman IX and Delaware IX, the "Fund IX Entities"); (v) Insight Venture Associates IX, L.P., a Cayman Islands exempted limited partnership ("IVA IX"); (vi) Insight Venture Associates IX, Ltd., a Cayman Islands exempted company ("IVA IX Ltd") and (vii) Insight Holdings Group, LLC ("Holdings"). Holdings is the sole shareholder of IVA IX Ltd, which is the general partner of IVA IX, which is the general partner of each of the Fund IX Entities (collectively with Holdings, IVA IX Ltd and IVA IX, the "Insight Entities"). As a result, the amounts owned by each of the Fund IX Entities may be deemed attributable to each of the other Insight Entities.</w:t>
      </w:r>
    </w:p>
    <w:p>
      <w:pPr>
        <w:sectPr>
          <w:pgSz w:w="11900" w:h="16838" w:orient="portrait"/>
          <w:cols w:equalWidth="0" w:num="1">
            <w:col w:w="11040"/>
          </w:cols>
          <w:pgMar w:left="360" w:top="567" w:right="499" w:bottom="289" w:gutter="0" w:footer="0" w:header="0"/>
        </w:sect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12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and principal office of each of the Reporting Persons is c/o Insight Partners,1114 Avenue of the Americas, 36th Floor, New York, New York 10036.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$0.00000125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20"/>
          </w:cols>
          <w:pgMar w:left="360" w:top="567" w:right="499" w:bottom="289" w:gutter="0" w:footer="0" w:header="0"/>
          <w:type w:val="continuous"/>
        </w:sect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00" w:hanging="912"/>
        <w:spacing w:after="0" w:line="185" w:lineRule="auto"/>
        <w:tabs>
          <w:tab w:leader="none" w:pos="920" w:val="left"/>
        </w:tabs>
        <w:numPr>
          <w:ilvl w:val="0"/>
          <w:numId w:val="1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Rows 5-11 of the cover pages hereto for each Reporting Person and is incorporated herein by reference for each such Reporting Person.</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40"/>
          </w:cols>
          <w:pgMar w:left="360" w:top="567" w:right="499" w:bottom="289" w:gutter="0" w:footer="0" w:header="0"/>
          <w:type w:val="continuous"/>
        </w:sectPr>
      </w:pPr>
    </w:p>
    <w:bookmarkStart w:id="7" w:name="page8"/>
    <w:bookmarkEnd w:id="7"/>
    <w:p>
      <w:pPr>
        <w:ind w:left="920" w:right="120"/>
        <w:spacing w:after="0" w:line="256" w:lineRule="auto"/>
        <w:rPr>
          <w:sz w:val="20"/>
          <w:szCs w:val="20"/>
          <w:color w:val="auto"/>
        </w:rPr>
      </w:pPr>
      <w:r>
        <w:rPr>
          <w:rFonts w:ascii="Times New Roman" w:cs="Times New Roman" w:eastAsia="Times New Roman" w:hAnsi="Times New Roman"/>
          <w:sz w:val="22"/>
          <w:szCs w:val="22"/>
          <w:color w:val="auto"/>
        </w:rPr>
        <w:t>The information required by Item 4(b) is set forth in Row 11 of the cover page for each of the Reporting Persons and is incorporated herein by reference. %</w:t>
      </w:r>
    </w:p>
    <w:p>
      <w:pPr>
        <w:spacing w:after="0" w:line="1" w:lineRule="exact"/>
        <w:rPr>
          <w:sz w:val="20"/>
          <w:szCs w:val="20"/>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5-11 of the cover pages hereto for each Reporting Person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5-11 of the cover pages hereto for each Reporting Person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5-11 of the cover pages hereto for each Reporting Person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5-11 of the cover pages hereto for each Reporting Person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As the general partner of the Fund IX Entities, IVA IX may be deemed to beneficially own all 13,526,731 shares of the Issuer's Class A common stock held directly by the Fund IX Entities. As the general partner of IVA IX, IVA IX Ltd. may be deemed to beneficially own all 13,526,731 shares of the Issuer's Class A common stock held by IVA IX. As the sole shareholder of IVA IX Ltd., Holdings may be deemed to beneficially own all 13,526,731 shares of the Issuer's Class A common stock held by IVA IX Ltd.</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80"/>
        <w:spacing w:after="0" w:line="236" w:lineRule="auto"/>
        <w:rPr>
          <w:sz w:val="20"/>
          <w:szCs w:val="20"/>
          <w:color w:val="auto"/>
        </w:rPr>
      </w:pPr>
      <w:r>
        <w:rPr>
          <w:rFonts w:ascii="Times New Roman" w:cs="Times New Roman" w:eastAsia="Times New Roman" w:hAnsi="Times New Roman"/>
          <w:sz w:val="22"/>
          <w:szCs w:val="22"/>
          <w:color w:val="auto"/>
        </w:rPr>
        <w:t>The Reporting Persons are making this single, joint filing because they may be deemed to constitute a "group" within the meaning of Section 13(d)(3) of the Securities Exchange Act of 1934, as amended (the "Exchange Act"). The agreement among the Reporting Persons to file jointly in accordance with Rule 13d-1(k) of the Exchange Act is attached hereto as Exhibit 99.1. The Reporting Persons disclaim membership in a group and this report shall not be deemed an admission by any of the Reporting Persons that they are or may be members of a "group" for purposes of Rule 13d-5 or for any other purpose.</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8" w:name="page9"/>
    <w:bookmarkEnd w:id="8"/>
    <w:p>
      <w:pPr>
        <w:ind w:left="3000"/>
        <w:spacing w:after="0"/>
        <w:rPr>
          <w:sz w:val="20"/>
          <w:szCs w:val="20"/>
          <w:color w:val="auto"/>
        </w:rPr>
      </w:pPr>
      <w:r>
        <w:rPr>
          <w:rFonts w:ascii="Times New Roman" w:cs="Times New Roman" w:eastAsia="Times New Roman" w:hAnsi="Times New Roman"/>
          <w:sz w:val="22"/>
          <w:szCs w:val="22"/>
          <w:color w:val="auto"/>
        </w:rPr>
        <w:t>Insight Venture Partners IX, L.P.</w:t>
      </w:r>
    </w:p>
    <w:p>
      <w:pPr>
        <w:spacing w:after="0" w:line="153"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Prodromos</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Andrew Prodromos, Attorney-in-Fact</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Insight Venture Partners IX (Co-Investors), L.P.</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Prodromos</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Andrew Prodromos, Attorney-in-Fact</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Insight Venture Partners (Cayman) IX, L.P.</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Prodromos</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Andrew Prodromos, Attorney-in-Fact</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Insight Venture Partners (Delaware) IX, L.P.</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Prodromos</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Andrew Prodromos, Attorney-in-Fact</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Insight Venture Associates IX, L.P.</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Prodromos</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Andrew Prodromos, Attorney-in-Fact</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Insight Venture Associates IX, Ltd.</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Prodromos</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Andrew Prodromos, Attorney-in-Fact</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Insight Holdings Group, LLC</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Prodromos</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Andrew Prodromos, Attorney-in-Fact</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99.1 Joint Filing Agreement, as required by Rule 13d-1(k) under the Securities Exchange Act of 1934, as amended</w:t>
      </w:r>
    </w:p>
    <w:p>
      <w:pPr>
        <w:sectPr>
          <w:pgSz w:w="11900" w:h="16838" w:orient="portrait"/>
          <w:cols w:equalWidth="0" w:num="1">
            <w:col w:w="10620"/>
          </w:cols>
          <w:pgMar w:left="360" w:top="111" w:right="919" w:bottom="1440" w:gutter="0" w:footer="0" w:header="0"/>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acknowledges that each shall be responsible for the timely filing of such amendments, and for the completeness and accuracy of the information concerning it contained therein, but shall not be responsible for the completeness and accuracy of the information concerning the other entities or persons, except to the extent that it knows or has reason to believe that such information is inaccurate.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15, 2026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b w:val="1"/>
          <w:bCs w:val="1"/>
          <w:color w:val="auto"/>
        </w:rPr>
        <w:t>INSIGHT HOLDINGS GROUP, LLC</w:t>
      </w:r>
    </w:p>
    <w:p>
      <w:pPr>
        <w:spacing w:after="0" w:line="200" w:lineRule="exact"/>
        <w:rPr>
          <w:sz w:val="20"/>
          <w:szCs w:val="20"/>
          <w:color w:val="auto"/>
        </w:rPr>
      </w:pPr>
    </w:p>
    <w:p>
      <w:pPr>
        <w:spacing w:after="0" w:line="280"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Andrew Prodromos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10795</wp:posOffset>
            </wp:positionV>
            <wp:extent cx="31889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 Andrew Prodromos</w:t>
      </w:r>
    </w:p>
    <w:p>
      <w:pPr>
        <w:spacing w:after="0" w:line="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b w:val="1"/>
          <w:bCs w:val="1"/>
          <w:color w:val="auto"/>
        </w:rPr>
        <w:t>INSIGHT VENTURE ASSOCIATES IX, Ltd.</w:t>
      </w:r>
    </w:p>
    <w:p>
      <w:pPr>
        <w:spacing w:after="0" w:line="200" w:lineRule="exact"/>
        <w:rPr>
          <w:sz w:val="20"/>
          <w:szCs w:val="20"/>
          <w:color w:val="auto"/>
        </w:rPr>
      </w:pPr>
    </w:p>
    <w:p>
      <w:pPr>
        <w:spacing w:after="0" w:line="280"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Andrew Prodromos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10795</wp:posOffset>
            </wp:positionV>
            <wp:extent cx="31889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 Andrew Prodromos</w:t>
      </w:r>
    </w:p>
    <w:p>
      <w:pPr>
        <w:spacing w:after="0" w:line="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b w:val="1"/>
          <w:bCs w:val="1"/>
          <w:color w:val="auto"/>
        </w:rPr>
        <w:t>INSIGHT VENTURE ASSOCIATES IX, L.P.</w:t>
      </w:r>
    </w:p>
    <w:p>
      <w:pPr>
        <w:spacing w:after="0" w:line="23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Insight Venture Associates IX, Ltd., its general partner</w:t>
      </w:r>
    </w:p>
    <w:p>
      <w:pPr>
        <w:spacing w:after="0" w:line="200" w:lineRule="exact"/>
        <w:rPr>
          <w:sz w:val="20"/>
          <w:szCs w:val="20"/>
          <w:color w:val="auto"/>
        </w:rPr>
      </w:pPr>
    </w:p>
    <w:p>
      <w:pPr>
        <w:spacing w:after="0" w:line="276"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Andrew Prodromos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10795</wp:posOffset>
            </wp:positionV>
            <wp:extent cx="31889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 Andrew Prodromos</w:t>
      </w:r>
    </w:p>
    <w:p>
      <w:pPr>
        <w:spacing w:after="0" w:line="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[Signature Page to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10" w:name="page11"/>
    <w:bookmarkEnd w:id="10"/>
    <w:p>
      <w:pPr>
        <w:ind w:left="4460"/>
        <w:spacing w:after="0"/>
        <w:rPr>
          <w:sz w:val="20"/>
          <w:szCs w:val="20"/>
          <w:color w:val="auto"/>
        </w:rPr>
      </w:pPr>
      <w:r>
        <w:rPr>
          <w:rFonts w:ascii="Times New Roman" w:cs="Times New Roman" w:eastAsia="Times New Roman" w:hAnsi="Times New Roman"/>
          <w:sz w:val="21"/>
          <w:szCs w:val="21"/>
          <w:b w:val="1"/>
          <w:bCs w:val="1"/>
          <w:color w:val="auto"/>
        </w:rPr>
        <w:t>INSIGHT VENTURE PARTNERS IX, L.P.</w:t>
      </w:r>
    </w:p>
    <w:p>
      <w:pPr>
        <w:sectPr>
          <w:pgSz w:w="11900" w:h="16838" w:orient="portrait"/>
          <w:cols w:equalWidth="0" w:num="1">
            <w:col w:w="9860"/>
          </w:cols>
          <w:pgMar w:left="1440" w:top="594" w:right="599" w:bottom="1440" w:gutter="0" w:footer="0" w:header="0"/>
        </w:sectPr>
      </w:pP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By:</w:t>
      </w:r>
    </w:p>
    <w:p>
      <w:pPr>
        <w:spacing w:after="0" w:line="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1"/>
          <w:szCs w:val="21"/>
          <w:color w:val="auto"/>
        </w:rPr>
        <w:t>Insight Venture Associates IX, L.P., its general partner Insight Venture Associates IX, Ltd., its general partner</w:t>
      </w:r>
    </w:p>
    <w:p>
      <w:pPr>
        <w:spacing w:after="0" w:line="200" w:lineRule="exact"/>
        <w:rPr>
          <w:sz w:val="20"/>
          <w:szCs w:val="20"/>
          <w:color w:val="auto"/>
        </w:rPr>
      </w:pPr>
    </w:p>
    <w:p>
      <w:pPr>
        <w:sectPr>
          <w:pgSz w:w="11900" w:h="16838" w:orient="portrait"/>
          <w:cols w:equalWidth="0" w:num="2">
            <w:col w:w="4760" w:space="340"/>
            <w:col w:w="4760"/>
          </w:cols>
          <w:pgMar w:left="1440" w:top="594" w:right="599" w:bottom="1440" w:gutter="0" w:footer="0" w:header="0"/>
          <w:type w:val="continuous"/>
        </w:sectPr>
      </w:pPr>
    </w:p>
    <w:p>
      <w:pPr>
        <w:spacing w:after="0" w:line="205" w:lineRule="exact"/>
        <w:rPr>
          <w:sz w:val="20"/>
          <w:szCs w:val="20"/>
          <w:color w:val="auto"/>
        </w:rPr>
      </w:pPr>
    </w:p>
    <w:p>
      <w:pPr>
        <w:ind w:left="4460"/>
        <w:spacing w:after="0"/>
        <w:tabs>
          <w:tab w:leader="none" w:pos="5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Andrew Prodromos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10795</wp:posOffset>
            </wp:positionV>
            <wp:extent cx="31889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Andrew Prodromos</w:t>
      </w:r>
    </w:p>
    <w:p>
      <w:pPr>
        <w:spacing w:after="0" w:line="4" w:lineRule="exact"/>
        <w:rPr>
          <w:sz w:val="20"/>
          <w:szCs w:val="20"/>
          <w:color w:val="auto"/>
        </w:rPr>
      </w:pPr>
    </w:p>
    <w:p>
      <w:pPr>
        <w:ind w:left="4460"/>
        <w:spacing w:after="0"/>
        <w:tabs>
          <w:tab w:leader="none" w:pos="5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INSIGHT VENTURE PARTNERS (CAYMAN) IX, L.P.</w:t>
      </w:r>
    </w:p>
    <w:p>
      <w:pPr>
        <w:sectPr>
          <w:pgSz w:w="11900" w:h="16838" w:orient="portrait"/>
          <w:cols w:equalWidth="0" w:num="1">
            <w:col w:w="9860"/>
          </w:cols>
          <w:pgMar w:left="1440" w:top="594" w:right="599" w:bottom="1440" w:gutter="0" w:footer="0" w:header="0"/>
          <w:type w:val="continuous"/>
        </w:sectPr>
      </w:pP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By:</w:t>
      </w:r>
    </w:p>
    <w:p>
      <w:pPr>
        <w:spacing w:after="0" w:line="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1"/>
          <w:szCs w:val="21"/>
          <w:color w:val="auto"/>
        </w:rPr>
        <w:t>Insight Venture Associates IX, L.P., its general partner Insight Venture Associates IX, Ltd., its general partner</w:t>
      </w:r>
    </w:p>
    <w:p>
      <w:pPr>
        <w:spacing w:after="0" w:line="200" w:lineRule="exact"/>
        <w:rPr>
          <w:sz w:val="20"/>
          <w:szCs w:val="20"/>
          <w:color w:val="auto"/>
        </w:rPr>
      </w:pPr>
    </w:p>
    <w:p>
      <w:pPr>
        <w:sectPr>
          <w:pgSz w:w="11900" w:h="16838" w:orient="portrait"/>
          <w:cols w:equalWidth="0" w:num="2">
            <w:col w:w="4760" w:space="340"/>
            <w:col w:w="4760"/>
          </w:cols>
          <w:pgMar w:left="1440" w:top="594" w:right="599" w:bottom="1440" w:gutter="0" w:footer="0" w:header="0"/>
          <w:type w:val="continuous"/>
        </w:sectPr>
      </w:pPr>
    </w:p>
    <w:p>
      <w:pPr>
        <w:spacing w:after="0" w:line="205" w:lineRule="exact"/>
        <w:rPr>
          <w:sz w:val="20"/>
          <w:szCs w:val="20"/>
          <w:color w:val="auto"/>
        </w:rPr>
      </w:pPr>
    </w:p>
    <w:p>
      <w:pPr>
        <w:ind w:left="4460"/>
        <w:spacing w:after="0"/>
        <w:tabs>
          <w:tab w:leader="none" w:pos="5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Andrew Prodromos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10795</wp:posOffset>
            </wp:positionV>
            <wp:extent cx="31889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Andrew Prodromos</w:t>
      </w:r>
    </w:p>
    <w:p>
      <w:pPr>
        <w:spacing w:after="0" w:line="4" w:lineRule="exact"/>
        <w:rPr>
          <w:sz w:val="20"/>
          <w:szCs w:val="20"/>
          <w:color w:val="auto"/>
        </w:rPr>
      </w:pPr>
    </w:p>
    <w:p>
      <w:pPr>
        <w:ind w:left="4460"/>
        <w:spacing w:after="0"/>
        <w:tabs>
          <w:tab w:leader="none" w:pos="5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INSIGHT VENTURE PARTNERS (DELAWARE) IX, L.P.</w:t>
      </w:r>
    </w:p>
    <w:p>
      <w:pPr>
        <w:sectPr>
          <w:pgSz w:w="11900" w:h="16838" w:orient="portrait"/>
          <w:cols w:equalWidth="0" w:num="1">
            <w:col w:w="9860"/>
          </w:cols>
          <w:pgMar w:left="1440" w:top="594" w:right="599" w:bottom="1440" w:gutter="0" w:footer="0" w:header="0"/>
          <w:type w:val="continuous"/>
        </w:sectPr>
      </w:pP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By:</w:t>
      </w:r>
    </w:p>
    <w:p>
      <w:pPr>
        <w:spacing w:after="0" w:line="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1"/>
          <w:szCs w:val="21"/>
          <w:color w:val="auto"/>
        </w:rPr>
        <w:t>Insight Venture Associates IX, L.P., its general partner Insight Venture Associates IX, Ltd., its general partner</w:t>
      </w:r>
    </w:p>
    <w:p>
      <w:pPr>
        <w:spacing w:after="0" w:line="200" w:lineRule="exact"/>
        <w:rPr>
          <w:sz w:val="20"/>
          <w:szCs w:val="20"/>
          <w:color w:val="auto"/>
        </w:rPr>
      </w:pPr>
    </w:p>
    <w:p>
      <w:pPr>
        <w:sectPr>
          <w:pgSz w:w="11900" w:h="16838" w:orient="portrait"/>
          <w:cols w:equalWidth="0" w:num="2">
            <w:col w:w="4760" w:space="340"/>
            <w:col w:w="4760"/>
          </w:cols>
          <w:pgMar w:left="1440" w:top="594" w:right="599" w:bottom="1440" w:gutter="0" w:footer="0" w:header="0"/>
          <w:type w:val="continuous"/>
        </w:sectPr>
      </w:pPr>
    </w:p>
    <w:p>
      <w:pPr>
        <w:spacing w:after="0" w:line="205" w:lineRule="exact"/>
        <w:rPr>
          <w:sz w:val="20"/>
          <w:szCs w:val="20"/>
          <w:color w:val="auto"/>
        </w:rPr>
      </w:pPr>
    </w:p>
    <w:p>
      <w:pPr>
        <w:ind w:left="4460"/>
        <w:spacing w:after="0"/>
        <w:tabs>
          <w:tab w:leader="none" w:pos="5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Andrew Prodromos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10795</wp:posOffset>
            </wp:positionV>
            <wp:extent cx="31889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Andrew Prodromos</w:t>
      </w:r>
    </w:p>
    <w:p>
      <w:pPr>
        <w:spacing w:after="0" w:line="4" w:lineRule="exact"/>
        <w:rPr>
          <w:sz w:val="20"/>
          <w:szCs w:val="20"/>
          <w:color w:val="auto"/>
        </w:rPr>
      </w:pPr>
    </w:p>
    <w:p>
      <w:pPr>
        <w:ind w:left="4460"/>
        <w:spacing w:after="0"/>
        <w:tabs>
          <w:tab w:leader="none" w:pos="5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line="262" w:lineRule="auto"/>
        <w:rPr>
          <w:sz w:val="20"/>
          <w:szCs w:val="20"/>
          <w:color w:val="auto"/>
        </w:rPr>
      </w:pPr>
      <w:r>
        <w:rPr>
          <w:rFonts w:ascii="Times New Roman" w:cs="Times New Roman" w:eastAsia="Times New Roman" w:hAnsi="Times New Roman"/>
          <w:sz w:val="22"/>
          <w:szCs w:val="22"/>
          <w:b w:val="1"/>
          <w:bCs w:val="1"/>
          <w:color w:val="auto"/>
        </w:rPr>
        <w:t>INSIGHT VENTURE PARTNERS IX (CO-INVESTORS), L.P.</w:t>
      </w:r>
    </w:p>
    <w:p>
      <w:pPr>
        <w:sectPr>
          <w:pgSz w:w="11900" w:h="16838" w:orient="portrait"/>
          <w:cols w:equalWidth="0" w:num="1">
            <w:col w:w="9860"/>
          </w:cols>
          <w:pgMar w:left="1440" w:top="594" w:right="599" w:bottom="1440" w:gutter="0" w:footer="0" w:header="0"/>
          <w:type w:val="continuous"/>
        </w:sectPr>
      </w:pPr>
    </w:p>
    <w:p>
      <w:pPr>
        <w:spacing w:after="0" w:line="1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By:</w:t>
      </w:r>
    </w:p>
    <w:p>
      <w:pPr>
        <w:spacing w:after="0" w:line="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1"/>
          <w:szCs w:val="21"/>
          <w:color w:val="auto"/>
        </w:rPr>
        <w:t>Insight Venture Associates IX, L.P., its general partner Insight Venture Associates IX, Ltd., its general partner</w:t>
      </w:r>
    </w:p>
    <w:p>
      <w:pPr>
        <w:spacing w:after="0" w:line="200" w:lineRule="exact"/>
        <w:rPr>
          <w:sz w:val="20"/>
          <w:szCs w:val="20"/>
          <w:color w:val="auto"/>
        </w:rPr>
      </w:pPr>
    </w:p>
    <w:p>
      <w:pPr>
        <w:sectPr>
          <w:pgSz w:w="11900" w:h="16838" w:orient="portrait"/>
          <w:cols w:equalWidth="0" w:num="2">
            <w:col w:w="4760" w:space="340"/>
            <w:col w:w="4760"/>
          </w:cols>
          <w:pgMar w:left="1440" w:top="594" w:right="599" w:bottom="1440" w:gutter="0" w:footer="0" w:header="0"/>
          <w:type w:val="continuous"/>
        </w:sectPr>
      </w:pPr>
    </w:p>
    <w:p>
      <w:pPr>
        <w:spacing w:after="0" w:line="205" w:lineRule="exact"/>
        <w:rPr>
          <w:sz w:val="20"/>
          <w:szCs w:val="20"/>
          <w:color w:val="auto"/>
        </w:rPr>
      </w:pPr>
    </w:p>
    <w:p>
      <w:pPr>
        <w:ind w:left="4460"/>
        <w:spacing w:after="0"/>
        <w:tabs>
          <w:tab w:leader="none" w:pos="50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Andrew Prodromos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18415</wp:posOffset>
            </wp:positionV>
            <wp:extent cx="31889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Andrew Prodromos</w:t>
      </w:r>
    </w:p>
    <w:p>
      <w:pPr>
        <w:spacing w:after="0" w:line="4" w:lineRule="exact"/>
        <w:rPr>
          <w:sz w:val="20"/>
          <w:szCs w:val="20"/>
          <w:color w:val="auto"/>
        </w:rPr>
      </w:pPr>
    </w:p>
    <w:p>
      <w:pPr>
        <w:ind w:left="4460"/>
        <w:spacing w:after="0"/>
        <w:tabs>
          <w:tab w:leader="none" w:pos="5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[Signature Page to Schedule 13G]</w:t>
      </w:r>
    </w:p>
    <w:sectPr>
      <w:pgSz w:w="11900" w:h="16838" w:orient="portrait"/>
      <w:cols w:equalWidth="0" w:num="1">
        <w:col w:w="9860"/>
      </w:cols>
      <w:pgMar w:left="1440" w:top="594"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3"/>
      <w:numFmt w:val="bullet"/>
      <w:start w:val="1"/>
    </w:lvl>
  </w:abstractNum>
  <w:abstractNum w:abstractNumId="8">
    <w:nsid w:val="3352255A"/>
    <w:multiLevelType w:val="hybridMultilevel"/>
    <w:lvl w:ilvl="0">
      <w:lvlJc w:val="left"/>
      <w:lvlText w:val="5"/>
      <w:numFmt w:val="bullet"/>
      <w:start w:val="1"/>
    </w:lvl>
  </w:abstractNum>
  <w:abstractNum w:abstractNumId="9">
    <w:nsid w:val="109CF92E"/>
    <w:multiLevelType w:val="hybridMultilevel"/>
    <w:lvl w:ilvl="0">
      <w:lvlJc w:val="left"/>
      <w:lvlText w:val="2"/>
      <w:numFmt w:val="bullet"/>
      <w:start w:val="1"/>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9"/>
      <w:numFmt w:val="bullet"/>
      <w:start w:val="1"/>
    </w:lvl>
  </w:abstractNum>
  <w:abstractNum w:abstractNumId="12">
    <w:nsid w:val="1BEFD79F"/>
    <w:multiLevelType w:val="hybridMultilevel"/>
    <w:lvl w:ilvl="0">
      <w:lvlJc w:val="left"/>
      <w:lvlText w:val="2"/>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2026-05-15T19:26:00Z</dcterms:created>
  <dcterms:modified xsi:type="dcterms:W3CDTF">2026-05-15T19:26:00Z</dcterms:modified>
</cp:coreProperties>
</file>