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before="0" w:after="18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May 13, 2026</w:t>
      </w:r>
    </w:p>
    <w:p>
      <w:pPr>
        <w:pStyle w:val="TextBody"/>
        <w:bidi w:val="0"/>
        <w:spacing w:lineRule="auto" w:line="288" w:before="54"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Commission File Number 001-43062</w:t>
      </w:r>
    </w:p>
    <w:p>
      <w:pPr>
        <w:pStyle w:val="TextBody"/>
        <w:bidi w:val="0"/>
        <w:spacing w:lineRule="auto" w:line="288" w:before="0" w:after="120"/>
        <w:jc w:val="center"/>
        <w:rPr>
          <w:rFonts w:ascii="Times New Roman;serif" w:hAnsi="Times New Roman;serif"/>
          <w:b/>
          <w:color w:val="000000"/>
          <w:sz w:val="32"/>
        </w:rPr>
      </w:pPr>
      <w:r>
        <w:rPr>
          <w:rFonts w:ascii="Times New Roman;serif" w:hAnsi="Times New Roman;serif"/>
          <w:b/>
          <w:color w:val="000000"/>
          <w:sz w:val="32"/>
        </w:rPr>
        <w:t>EquipmentShare.com Inc</w:t>
      </w:r>
    </w:p>
    <w:p>
      <w:pPr>
        <w:pStyle w:val="TextBody"/>
        <w:bidi w:val="0"/>
        <w:spacing w:lineRule="auto" w:line="288" w:before="0" w:after="4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p>
      <w:pPr>
        <w:pStyle w:val="TextBody"/>
        <w:bidi w:val="0"/>
        <w:spacing w:lineRule="auto" w:line="288" w:before="54"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before="0" w:after="0"/>
        <w:jc w:val="center"/>
        <w:rPr/>
      </w:pPr>
      <w:r>
        <w:rPr/>
      </w:r>
    </w:p>
    <w:tbl>
      <w:tblPr>
        <w:tblW w:w="8277" w:type="dxa"/>
        <w:jc w:val="left"/>
        <w:tblInd w:w="0" w:type="dxa"/>
        <w:tblLayout w:type="fixed"/>
        <w:tblCellMar>
          <w:top w:w="28" w:type="dxa"/>
          <w:left w:w="28" w:type="dxa"/>
          <w:bottom w:w="28" w:type="dxa"/>
          <w:right w:w="28" w:type="dxa"/>
        </w:tblCellMar>
      </w:tblPr>
      <w:tblGrid>
        <w:gridCol w:w="816"/>
        <w:gridCol w:w="715"/>
        <w:gridCol w:w="724"/>
        <w:gridCol w:w="872"/>
        <w:gridCol w:w="872"/>
        <w:gridCol w:w="874"/>
        <w:gridCol w:w="992"/>
        <w:gridCol w:w="992"/>
        <w:gridCol w:w="1420"/>
      </w:tblGrid>
      <w:tr>
        <w:trPr/>
        <w:tc>
          <w:tcPr>
            <w:tcW w:w="81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r>
      <w:tr>
        <w:trPr/>
        <w:tc>
          <w:tcPr>
            <w:tcW w:w="225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Texas</w:t>
            </w:r>
          </w:p>
        </w:tc>
        <w:tc>
          <w:tcPr>
            <w:tcW w:w="2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47-2405753</w:t>
            </w:r>
          </w:p>
        </w:tc>
      </w:tr>
      <w:tr>
        <w:trPr/>
        <w:tc>
          <w:tcPr>
            <w:tcW w:w="225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(State of Incorporation)</w:t>
            </w:r>
          </w:p>
        </w:tc>
        <w:tc>
          <w:tcPr>
            <w:tcW w:w="2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5710 Bull Run Dr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Columbia, Missouri, 65201</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(573) 299-5222</w:t>
            </w:r>
          </w:p>
        </w:tc>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including Zip Code, and telephone number, including area code, of registrant's principal executive offices)</w:t>
            </w:r>
          </w:p>
        </w:tc>
      </w:tr>
    </w:tbl>
    <w:p>
      <w:pPr>
        <w:pStyle w:val="TextBody"/>
        <w:bidi w:val="0"/>
        <w:spacing w:lineRule="auto" w:line="288" w:before="54"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bl>
      <w:tblPr>
        <w:tblW w:w="8782" w:type="dxa"/>
        <w:jc w:val="left"/>
        <w:tblInd w:w="0" w:type="dxa"/>
        <w:tblLayout w:type="fixed"/>
        <w:tblCellMar>
          <w:top w:w="28" w:type="dxa"/>
          <w:left w:w="28" w:type="dxa"/>
          <w:bottom w:w="28" w:type="dxa"/>
          <w:right w:w="28" w:type="dxa"/>
        </w:tblCellMar>
      </w:tblPr>
      <w:tblGrid>
        <w:gridCol w:w="1261"/>
        <w:gridCol w:w="1101"/>
        <w:gridCol w:w="1117"/>
        <w:gridCol w:w="109"/>
        <w:gridCol w:w="109"/>
        <w:gridCol w:w="109"/>
        <w:gridCol w:w="474"/>
        <w:gridCol w:w="474"/>
        <w:gridCol w:w="476"/>
        <w:gridCol w:w="109"/>
        <w:gridCol w:w="109"/>
        <w:gridCol w:w="109"/>
        <w:gridCol w:w="945"/>
        <w:gridCol w:w="945"/>
        <w:gridCol w:w="1335"/>
      </w:tblGrid>
      <w:tr>
        <w:trPr/>
        <w:tc>
          <w:tcPr>
            <w:tcW w:w="126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Class A Common Stock, $0.00000125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EQPT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The Nasdaq Global Select Market</w:t>
            </w:r>
          </w:p>
        </w:tc>
      </w:tr>
    </w:tbl>
    <w:p>
      <w:pPr>
        <w:pStyle w:val="TextBody"/>
        <w:bidi w:val="0"/>
        <w:spacing w:before="0" w:after="12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12b-2 of the Exchange Act.</w:t>
      </w:r>
    </w:p>
    <w:tbl>
      <w:tblPr>
        <w:tblW w:w="10205" w:type="dxa"/>
        <w:jc w:val="left"/>
        <w:tblInd w:w="0" w:type="dxa"/>
        <w:tblLayout w:type="fixed"/>
        <w:tblCellMar>
          <w:top w:w="28" w:type="dxa"/>
          <w:left w:w="28" w:type="dxa"/>
          <w:bottom w:w="28" w:type="dxa"/>
          <w:right w:w="28" w:type="dxa"/>
        </w:tblCellMar>
      </w:tblPr>
      <w:tblGrid>
        <w:gridCol w:w="3607"/>
        <w:gridCol w:w="3100"/>
        <w:gridCol w:w="3125"/>
        <w:gridCol w:w="109"/>
        <w:gridCol w:w="109"/>
        <w:gridCol w:w="155"/>
      </w:tblGrid>
      <w:tr>
        <w:trPr/>
        <w:tc>
          <w:tcPr>
            <w:tcW w:w="3607" w:type="dxa"/>
            <w:tcBorders/>
            <w:vAlign w:val="center"/>
          </w:tcPr>
          <w:p>
            <w:pPr>
              <w:pStyle w:val="TableContents"/>
              <w:bidi w:val="0"/>
              <w:spacing w:before="0" w:after="283"/>
              <w:jc w:val="left"/>
              <w:rPr>
                <w:sz w:val="4"/>
                <w:szCs w:val="4"/>
              </w:rPr>
            </w:pPr>
            <w:r>
              <w:rPr>
                <w:sz w:val="4"/>
                <w:szCs w:val="4"/>
              </w:rPr>
            </w:r>
          </w:p>
        </w:tc>
        <w:tc>
          <w:tcPr>
            <w:tcW w:w="3100" w:type="dxa"/>
            <w:tcBorders/>
            <w:vAlign w:val="center"/>
          </w:tcPr>
          <w:p>
            <w:pPr>
              <w:pStyle w:val="TableContents"/>
              <w:bidi w:val="0"/>
              <w:spacing w:before="0" w:after="283"/>
              <w:jc w:val="left"/>
              <w:rPr>
                <w:sz w:val="4"/>
                <w:szCs w:val="4"/>
              </w:rPr>
            </w:pPr>
            <w:r>
              <w:rPr>
                <w:sz w:val="4"/>
                <w:szCs w:val="4"/>
              </w:rPr>
            </w:r>
          </w:p>
        </w:tc>
        <w:tc>
          <w:tcPr>
            <w:tcW w:w="3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Wingdings;sans-serif" w:hAnsi="Wingdings;sans-serif"/>
                <w:b w:val="false"/>
                <w:color w:val="000000"/>
                <w:sz w:val="20"/>
              </w:rPr>
            </w:pPr>
            <w:r>
              <w:rPr>
                <w:rFonts w:ascii="Wingdings;sans-serif" w:hAnsi="Wingdings;sans-serif"/>
                <w:b w:val="false"/>
                <w:color w:val="000000"/>
                <w:sz w:val="20"/>
              </w:rPr>
              <w:t>o</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May 13, 2026, EquipmentShare.com Inc (the “Company”) issued a press release reporting its results of operations for the quarter ended March 31, 2026. The Company previously announced that it would be holding a conference call on May 14, 2025, at 7:30 a.m. Central Time to discuss its results of operations for the quarter ended March 31, 2026. A copy of the press release is furnished as Exhibit 99.1 to this Form 8-K and is incorporated by reference herein.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information included in this Form 8-K and the exhibits attached hereto shall not be deemed “filed” for the purposes of Section 18 of the Securities Exchange Act of 1934 (the “Exchange Act”) or otherwise subject to the liabilities of that section, nor shall it be deemed incorporated by reference in any other filing under the Securities Act of 1933 or the Exchange Act, except as shall be expressly set forth by specific reference in such filing.</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8051"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39"/>
        <w:gridCol w:w="1939"/>
        <w:gridCol w:w="2766"/>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2766"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a1q26earningsrelease.htm">
              <w:r>
                <w:rPr>
                  <w:rStyle w:val="InternetLink"/>
                  <w:rFonts w:ascii="Times New Roman;serif" w:hAnsi="Times New Roman;serif"/>
                  <w:b w:val="false"/>
                  <w:color w:val="0000FF"/>
                  <w:sz w:val="20"/>
                  <w:u w:val="single"/>
                </w:rPr>
                <w:t>Press Release of EquipmentShare.com Inc dated May 13,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Exchange Act, the Company has duly caused this report to be signed on its behalf by the undersigned hereunto duly authorized.</w:t>
      </w:r>
    </w:p>
    <w:tbl>
      <w:tblPr>
        <w:tblW w:w="6945"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231"/>
        <w:gridCol w:w="231"/>
        <w:gridCol w:w="231"/>
        <w:gridCol w:w="689"/>
        <w:gridCol w:w="689"/>
        <w:gridCol w:w="689"/>
        <w:gridCol w:w="689"/>
        <w:gridCol w:w="689"/>
        <w:gridCol w:w="100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EquipmentShare.com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13, 2026</w:t>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5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Marquardt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45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Marquardt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45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Accounting Officer</w:t>
            </w:r>
          </w:p>
        </w:tc>
      </w:tr>
    </w:tbl>
    <w:p>
      <w:pPr>
        <w:pStyle w:val="TextBody"/>
        <w:bidi w:val="0"/>
        <w:spacing w:before="0" w:after="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tbl>
      <w:tblPr>
        <w:tblW w:w="6431" w:type="dxa"/>
        <w:jc w:val="left"/>
        <w:tblInd w:w="0" w:type="dxa"/>
        <w:tblLayout w:type="fixed"/>
        <w:tblCellMar>
          <w:top w:w="28" w:type="dxa"/>
          <w:left w:w="28" w:type="dxa"/>
          <w:bottom w:w="28" w:type="dxa"/>
          <w:right w:w="28" w:type="dxa"/>
        </w:tblCellMar>
      </w:tblPr>
      <w:tblGrid>
        <w:gridCol w:w="353"/>
        <w:gridCol w:w="310"/>
        <w:gridCol w:w="312"/>
        <w:gridCol w:w="1598"/>
        <w:gridCol w:w="1598"/>
        <w:gridCol w:w="2260"/>
      </w:tblGrid>
      <w:tr>
        <w:trPr/>
        <w:tc>
          <w:tcPr>
            <w:tcW w:w="3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5/13/2026</w:t>
            </w:r>
          </w:p>
        </w:tc>
        <w:tc>
          <w:tcPr>
            <w:tcW w:w="545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381375" cy="4095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3381375" cy="409575"/>
                          </a:xfrm>
                          <a:prstGeom prst="rect">
                            <a:avLst/>
                          </a:prstGeom>
                        </pic:spPr>
                      </pic:pic>
                    </a:graphicData>
                  </a:graphic>
                </wp:inline>
              </w:drawing>
            </w:r>
          </w:p>
        </w:tc>
      </w:tr>
    </w:tbl>
    <w:p>
      <w:pPr>
        <w:pStyle w:val="TextBody"/>
        <w:bidi w:val="0"/>
        <w:spacing w:before="0" w:after="18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EquipmentShare Reports Strong First Quarter Financial Results and Raises Full-Year 2026 Guidance</w:t>
      </w:r>
    </w:p>
    <w:p>
      <w:pPr>
        <w:pStyle w:val="TextBody"/>
        <w:bidi w:val="0"/>
        <w:spacing w:before="0" w:after="0"/>
        <w:jc w:val="center"/>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0"/>
        </w:rPr>
        <w:t>Total revenue of $989 million for the first quarter and $4,652 million on a TTM</w:t>
      </w:r>
      <w:r>
        <w:rPr>
          <w:rFonts w:ascii="Times New Roman;serif" w:hAnsi="Times New Roman;serif"/>
          <w:b/>
          <w:color w:val="000000"/>
          <w:sz w:val="13"/>
        </w:rPr>
        <w:t>(1)</w:t>
      </w:r>
      <w:r>
        <w:rPr>
          <w:color w:val="000000"/>
        </w:rPr>
        <w:t xml:space="preserve"> </w:t>
      </w:r>
      <w:r>
        <w:rPr>
          <w:rFonts w:ascii="Times New Roman;serif" w:hAnsi="Times New Roman;serif"/>
          <w:b/>
          <w:color w:val="000000"/>
          <w:sz w:val="20"/>
        </w:rPr>
        <w:t>basis.</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0"/>
        </w:rPr>
        <w:t>Rental Segment</w:t>
      </w:r>
      <w:r>
        <w:rPr>
          <w:rFonts w:ascii="Times New Roman;serif" w:hAnsi="Times New Roman;serif"/>
          <w:b/>
          <w:color w:val="000000"/>
          <w:sz w:val="13"/>
        </w:rPr>
        <w:t>(2)</w:t>
      </w:r>
      <w:r>
        <w:rPr>
          <w:color w:val="000000"/>
        </w:rPr>
        <w:t xml:space="preserve"> </w:t>
      </w:r>
      <w:r>
        <w:rPr>
          <w:rFonts w:ascii="Times New Roman;serif" w:hAnsi="Times New Roman;serif"/>
          <w:b/>
          <w:color w:val="000000"/>
          <w:sz w:val="20"/>
        </w:rPr>
        <w:t>revenue of $764 million for the first quarter, an increase of 37% year over year, and on a TTM</w:t>
      </w:r>
      <w:r>
        <w:rPr>
          <w:rFonts w:ascii="Times New Roman;serif" w:hAnsi="Times New Roman;serif"/>
          <w:b/>
          <w:color w:val="000000"/>
          <w:sz w:val="13"/>
        </w:rPr>
        <w:t>(1)</w:t>
      </w:r>
      <w:r>
        <w:rPr>
          <w:color w:val="000000"/>
        </w:rPr>
        <w:t xml:space="preserve"> </w:t>
      </w:r>
      <w:r>
        <w:rPr>
          <w:rFonts w:ascii="Times New Roman;serif" w:hAnsi="Times New Roman;serif"/>
          <w:b/>
          <w:color w:val="000000"/>
          <w:sz w:val="20"/>
        </w:rPr>
        <w:t>basis $2,932 million, an increase of 36% year over year.</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0"/>
        </w:rPr>
        <w:t>Net loss of $29 million for the first quarter and net income of $58 million on a TTM</w:t>
      </w:r>
      <w:r>
        <w:rPr>
          <w:rFonts w:ascii="Times New Roman;serif" w:hAnsi="Times New Roman;serif"/>
          <w:b/>
          <w:color w:val="000000"/>
          <w:sz w:val="13"/>
        </w:rPr>
        <w:t>(1)</w:t>
      </w:r>
      <w:r>
        <w:rPr>
          <w:color w:val="000000"/>
        </w:rPr>
        <w:t xml:space="preserve"> </w:t>
      </w:r>
      <w:r>
        <w:rPr>
          <w:rFonts w:ascii="Times New Roman;serif" w:hAnsi="Times New Roman;serif"/>
          <w:b/>
          <w:color w:val="000000"/>
          <w:sz w:val="20"/>
        </w:rPr>
        <w:t>basis.</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0"/>
        </w:rPr>
        <w:t>Adjusted net loss</w:t>
      </w:r>
      <w:r>
        <w:rPr>
          <w:rFonts w:ascii="Times New Roman;serif" w:hAnsi="Times New Roman;serif"/>
          <w:b/>
          <w:color w:val="000000"/>
          <w:sz w:val="13"/>
        </w:rPr>
        <w:t xml:space="preserve">(4) </w:t>
      </w:r>
      <w:r>
        <w:rPr>
          <w:rFonts w:ascii="Times New Roman;serif" w:hAnsi="Times New Roman;serif"/>
          <w:b/>
          <w:color w:val="000000"/>
          <w:sz w:val="20"/>
        </w:rPr>
        <w:t>for the first quarter of $12 million and adjusted net income</w:t>
      </w:r>
      <w:r>
        <w:rPr>
          <w:rFonts w:ascii="Times New Roman;serif" w:hAnsi="Times New Roman;serif"/>
          <w:b/>
          <w:color w:val="000000"/>
          <w:sz w:val="13"/>
        </w:rPr>
        <w:t>(4)</w:t>
      </w:r>
      <w:r>
        <w:rPr>
          <w:color w:val="000000"/>
        </w:rPr>
        <w:t xml:space="preserve"> </w:t>
      </w:r>
      <w:r>
        <w:rPr>
          <w:rFonts w:ascii="Times New Roman;serif" w:hAnsi="Times New Roman;serif"/>
          <w:b/>
          <w:color w:val="000000"/>
          <w:sz w:val="20"/>
        </w:rPr>
        <w:t>of $75 million on a TTM</w:t>
      </w:r>
      <w:r>
        <w:rPr>
          <w:rFonts w:ascii="Times New Roman;serif" w:hAnsi="Times New Roman;serif"/>
          <w:b/>
          <w:color w:val="000000"/>
          <w:sz w:val="13"/>
        </w:rPr>
        <w:t>(1)</w:t>
      </w:r>
      <w:r>
        <w:rPr>
          <w:color w:val="000000"/>
        </w:rPr>
        <w:t xml:space="preserve"> </w:t>
      </w:r>
      <w:r>
        <w:rPr>
          <w:rFonts w:ascii="Times New Roman;serif" w:hAnsi="Times New Roman;serif"/>
          <w:b/>
          <w:color w:val="000000"/>
          <w:sz w:val="20"/>
        </w:rPr>
        <w:t>basis.</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0"/>
        </w:rPr>
        <w:t>Adjusted Core EBITDA</w:t>
      </w:r>
      <w:r>
        <w:rPr>
          <w:rFonts w:ascii="Times New Roman;serif" w:hAnsi="Times New Roman;serif"/>
          <w:b/>
          <w:color w:val="000000"/>
          <w:sz w:val="13"/>
        </w:rPr>
        <w:t>(3)</w:t>
      </w:r>
      <w:r>
        <w:rPr>
          <w:color w:val="000000"/>
        </w:rPr>
        <w:t xml:space="preserve"> </w:t>
      </w:r>
      <w:r>
        <w:rPr>
          <w:rFonts w:ascii="Times New Roman;serif" w:hAnsi="Times New Roman;serif"/>
          <w:b/>
          <w:color w:val="000000"/>
          <w:sz w:val="20"/>
        </w:rPr>
        <w:t>of $399 million for the first quarter and $1,776 million on a TTM</w:t>
      </w:r>
      <w:r>
        <w:rPr>
          <w:rFonts w:ascii="Times New Roman;serif" w:hAnsi="Times New Roman;serif"/>
          <w:b/>
          <w:color w:val="000000"/>
          <w:sz w:val="13"/>
        </w:rPr>
        <w:t>(1)</w:t>
      </w:r>
      <w:r>
        <w:rPr>
          <w:color w:val="000000"/>
        </w:rPr>
        <w:t xml:space="preserve"> </w:t>
      </w:r>
      <w:r>
        <w:rPr>
          <w:rFonts w:ascii="Times New Roman;serif" w:hAnsi="Times New Roman;serif"/>
          <w:b/>
          <w:color w:val="000000"/>
          <w:sz w:val="20"/>
        </w:rPr>
        <w:t>basis.</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0"/>
        </w:rPr>
        <w:t>Mature rental locations</w:t>
      </w:r>
      <w:r>
        <w:rPr>
          <w:rFonts w:ascii="Times New Roman;serif" w:hAnsi="Times New Roman;serif"/>
          <w:b/>
          <w:color w:val="000000"/>
          <w:sz w:val="13"/>
        </w:rPr>
        <w:t>(2)(6)</w:t>
      </w:r>
      <w:r>
        <w:rPr>
          <w:color w:val="000000"/>
        </w:rPr>
        <w:t xml:space="preserve"> </w:t>
      </w:r>
      <w:r>
        <w:rPr>
          <w:rFonts w:ascii="Times New Roman;serif" w:hAnsi="Times New Roman;serif"/>
          <w:b/>
          <w:color w:val="000000"/>
          <w:sz w:val="20"/>
        </w:rPr>
        <w:t>adjusted EBITDA margins were 55% on a TTM</w:t>
      </w:r>
      <w:r>
        <w:rPr>
          <w:rFonts w:ascii="Times New Roman;serif" w:hAnsi="Times New Roman;serif"/>
          <w:b/>
          <w:color w:val="000000"/>
          <w:sz w:val="13"/>
        </w:rPr>
        <w:t>(1)</w:t>
      </w:r>
      <w:r>
        <w:rPr>
          <w:color w:val="000000"/>
        </w:rPr>
        <w:t xml:space="preserve"> </w:t>
      </w:r>
      <w:r>
        <w:rPr>
          <w:rFonts w:ascii="Times New Roman;serif" w:hAnsi="Times New Roman;serif"/>
          <w:b/>
          <w:color w:val="000000"/>
          <w:sz w:val="20"/>
        </w:rPr>
        <w:t>basis.</w:t>
      </w:r>
    </w:p>
    <w:p>
      <w:pPr>
        <w:pStyle w:val="TextBody"/>
        <w:bidi w:val="0"/>
        <w:spacing w:lineRule="auto" w:line="288" w:before="0" w:after="0"/>
        <w:ind w:left="0" w:right="0" w:hanging="360"/>
        <w:jc w:val="left"/>
        <w:rPr/>
      </w:pPr>
      <w:r>
        <w:rPr>
          <w:strike/>
          <w:color w:val="000000"/>
        </w:rPr>
        <w:t>•</w:t>
      </w:r>
      <w:r>
        <w:rPr>
          <w:rFonts w:ascii="Times New Roman;serif" w:hAnsi="Times New Roman;serif"/>
          <w:b/>
          <w:color w:val="000000"/>
          <w:sz w:val="20"/>
        </w:rPr>
        <w:t>407 locations</w:t>
      </w:r>
      <w:r>
        <w:rPr>
          <w:rFonts w:ascii="Times New Roman;serif" w:hAnsi="Times New Roman;serif"/>
          <w:b/>
          <w:color w:val="000000"/>
          <w:sz w:val="13"/>
        </w:rPr>
        <w:t>(6)</w:t>
      </w:r>
      <w:r>
        <w:rPr>
          <w:color w:val="000000"/>
        </w:rPr>
        <w:t xml:space="preserve"> </w:t>
      </w:r>
      <w:r>
        <w:rPr>
          <w:rFonts w:ascii="Times New Roman;serif" w:hAnsi="Times New Roman;serif"/>
          <w:b/>
          <w:color w:val="000000"/>
          <w:sz w:val="20"/>
        </w:rPr>
        <w:t>with 22 new locations opened during the first quarter.</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Columbia, MO. - - (Business Wire) - - EquipmentShare.com Inc (Nasdaq: EQPT) (“EquipmentShare” or the “Company”) today reported financial results for the first quarter ended March 31, 2026 which can be found on EquipmentShare’s website at https://ir.equipmentshare.com/. </w:t>
      </w:r>
    </w:p>
    <w:p>
      <w:pPr>
        <w:pStyle w:val="TextBody"/>
        <w:bidi w:val="0"/>
        <w:spacing w:lineRule="auto" w:line="288" w:before="0" w:after="180"/>
        <w:jc w:val="left"/>
        <w:rPr>
          <w:color w:val="000000"/>
        </w:rPr>
      </w:pPr>
      <w:r>
        <w:rPr>
          <w:color w:val="000000"/>
        </w:rPr>
        <w:t>“</w:t>
      </w:r>
      <w:r>
        <w:rPr>
          <w:rFonts w:ascii="Times New Roman;serif" w:hAnsi="Times New Roman;serif"/>
          <w:b w:val="false"/>
          <w:color w:val="000000"/>
          <w:sz w:val="20"/>
        </w:rPr>
        <w:t>We delivered a strong first quarter and are raising our 2026 outlook across the board,” said Jabbok Schlacks, Founder and Chief Executive Officer of EquipmentShare. “Rental Segment revenue grew 37% year over year, supported by strong customer demand across industrial, infrastructure, data center, and advanced manufacturing projects. Trailing twelve month mature rental location adjusted EBITDA margin was 55%, highlighting strong organic unit economics and the embedded earnings power of our footprint as it matures. The quarter’s strong financial performance reinforces the strength of our technology-enabled organic growth model, the value T3 brings to larger and more complex jobsites, and our continued focus on scaling EquipmentShare with discipline and attractive returns.”</w:t>
      </w:r>
    </w:p>
    <w:p>
      <w:pPr>
        <w:pStyle w:val="TextBody"/>
        <w:bidi w:val="0"/>
        <w:spacing w:lineRule="auto" w:line="288" w:before="0" w:after="180"/>
        <w:jc w:val="left"/>
        <w:rPr>
          <w:color w:val="000000"/>
        </w:rPr>
      </w:pPr>
      <w:r>
        <w:rPr>
          <w:color w:val="000000"/>
        </w:rPr>
        <w:t>“</w:t>
      </w:r>
      <w:r>
        <w:rPr>
          <w:rFonts w:ascii="Times New Roman;serif" w:hAnsi="Times New Roman;serif"/>
          <w:b w:val="false"/>
          <w:color w:val="000000"/>
          <w:sz w:val="20"/>
        </w:rPr>
        <w:t>What we're seeing every day with customers is that large, complex jobsites need more than equipment availability. They need visibility, control, and faster execution,” said Willy Schlacks, Founder and President of EquipmentShare. “T3 is the live operating layer across equipment, access control, service, utilization, and jobsite activity that delivers that. T3 also what makes AI meaningful for construction by turning actual jobsite data into improved uptime, smarter service prioritization, and greater customer control. Our strong first quarter financial performance reflects growing customer demand for an integrated platform over fragmented alternatives, and that momentum continues to accelerate.”</w:t>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u w:val="single"/>
        </w:rPr>
      </w:pPr>
      <w:r>
        <w:rPr>
          <w:rFonts w:ascii="Times New Roman;serif" w:hAnsi="Times New Roman;serif"/>
          <w:b/>
          <w:color w:val="000000"/>
          <w:sz w:val="20"/>
          <w:u w:val="single"/>
        </w:rPr>
        <w:t>Financial Summary</w:t>
      </w:r>
    </w:p>
    <w:tbl>
      <w:tblPr>
        <w:tblW w:w="9731" w:type="dxa"/>
        <w:jc w:val="center"/>
        <w:tblInd w:w="0" w:type="dxa"/>
        <w:tblLayout w:type="fixed"/>
        <w:tblCellMar>
          <w:top w:w="28" w:type="dxa"/>
          <w:left w:w="28" w:type="dxa"/>
          <w:bottom w:w="28" w:type="dxa"/>
          <w:right w:w="28" w:type="dxa"/>
        </w:tblCellMar>
      </w:tblPr>
      <w:tblGrid>
        <w:gridCol w:w="1226"/>
        <w:gridCol w:w="1080"/>
        <w:gridCol w:w="1083"/>
        <w:gridCol w:w="229"/>
        <w:gridCol w:w="229"/>
        <w:gridCol w:w="178"/>
        <w:gridCol w:w="178"/>
        <w:gridCol w:w="178"/>
        <w:gridCol w:w="178"/>
        <w:gridCol w:w="229"/>
        <w:gridCol w:w="229"/>
        <w:gridCol w:w="178"/>
        <w:gridCol w:w="109"/>
        <w:gridCol w:w="109"/>
        <w:gridCol w:w="109"/>
        <w:gridCol w:w="275"/>
        <w:gridCol w:w="275"/>
        <w:gridCol w:w="276"/>
        <w:gridCol w:w="109"/>
        <w:gridCol w:w="109"/>
        <w:gridCol w:w="109"/>
        <w:gridCol w:w="242"/>
        <w:gridCol w:w="217"/>
        <w:gridCol w:w="188"/>
        <w:gridCol w:w="188"/>
        <w:gridCol w:w="188"/>
        <w:gridCol w:w="188"/>
        <w:gridCol w:w="242"/>
        <w:gridCol w:w="217"/>
        <w:gridCol w:w="188"/>
        <w:gridCol w:w="109"/>
        <w:gridCol w:w="109"/>
        <w:gridCol w:w="109"/>
        <w:gridCol w:w="255"/>
        <w:gridCol w:w="255"/>
        <w:gridCol w:w="361"/>
      </w:tblGrid>
      <w:tr>
        <w:trPr/>
        <w:tc>
          <w:tcPr>
            <w:tcW w:w="122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Twelve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millions, except for operational locations)</w:t>
            </w:r>
          </w:p>
        </w:tc>
        <w:tc>
          <w:tcPr>
            <w:tcW w:w="180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vMerge w:val="continue"/>
            <w:tcBorders/>
            <w:tcMar>
              <w:top w:w="0" w:type="dxa"/>
              <w:left w:w="0" w:type="dxa"/>
              <w:bottom w:w="0" w:type="dxa"/>
              <w:right w:w="0" w:type="dxa"/>
            </w:tcMar>
            <w:vAlign w:val="center"/>
          </w:tcPr>
          <w:p>
            <w:pPr>
              <w:pStyle w:val="Normal"/>
              <w:bidi w:val="0"/>
              <w:jc w:val="left"/>
              <w:rPr/>
            </w:pPr>
            <w:r>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6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$989</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$4,652</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Equipment Rental and Services Operations</w:t>
            </w:r>
          </w:p>
        </w:tc>
        <w:tc>
          <w:tcPr>
            <w:tcW w:w="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$764</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$556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$2,932</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36%</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Equipment Sales</w:t>
            </w:r>
          </w:p>
        </w:tc>
        <w:tc>
          <w:tcPr>
            <w:tcW w:w="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$179</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$145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$1,575</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(5)%</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All Other</w:t>
            </w:r>
          </w:p>
        </w:tc>
        <w:tc>
          <w:tcPr>
            <w:tcW w:w="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$46</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207%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$145</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150%</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OWN Program Payouts</w:t>
            </w:r>
          </w:p>
        </w:tc>
        <w:tc>
          <w:tcPr>
            <w:tcW w:w="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$217</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$777</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59%</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w:t>
            </w:r>
          </w:p>
        </w:tc>
        <w:tc>
          <w:tcPr>
            <w:tcW w:w="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$58</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(1,260)%</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Adjusted net (loss) income</w:t>
            </w:r>
            <w:r>
              <w:rPr>
                <w:rFonts w:ascii="Times New Roman;serif" w:hAnsi="Times New Roman;serif"/>
                <w:b w:val="false"/>
                <w:color w:val="000000"/>
                <w:sz w:val="10"/>
              </w:rPr>
              <w:t>(4)</w:t>
            </w:r>
          </w:p>
        </w:tc>
        <w:tc>
          <w:tcPr>
            <w:tcW w:w="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(1600)%</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Adjusted Core EBITDA</w:t>
            </w:r>
            <w:r>
              <w:rPr>
                <w:rFonts w:ascii="Times New Roman;serif" w:hAnsi="Times New Roman;serif"/>
                <w:b w:val="false"/>
                <w:color w:val="000000"/>
                <w:sz w:val="10"/>
              </w:rPr>
              <w:t>(3)</w:t>
            </w:r>
          </w:p>
        </w:tc>
        <w:tc>
          <w:tcPr>
            <w:tcW w:w="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$399</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$1,776</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New market startup costs</w:t>
            </w:r>
            <w:r>
              <w:rPr>
                <w:rFonts w:ascii="Times New Roman;serif" w:hAnsi="Times New Roman;serif"/>
                <w:b w:val="false"/>
                <w:color w:val="000000"/>
                <w:sz w:val="10"/>
              </w:rPr>
              <w:t>(5)</w:t>
            </w:r>
          </w:p>
        </w:tc>
        <w:tc>
          <w:tcPr>
            <w:tcW w:w="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$246</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Operational locations</w:t>
            </w:r>
            <w:r>
              <w:rPr>
                <w:rFonts w:ascii="Times New Roman;serif" w:hAnsi="Times New Roman;serif"/>
                <w:b w:val="false"/>
                <w:color w:val="000000"/>
                <w:sz w:val="10"/>
              </w:rPr>
              <w:t>(6)</w:t>
            </w:r>
          </w:p>
        </w:tc>
        <w:tc>
          <w:tcPr>
            <w:tcW w:w="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407</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407</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Original Equipment Cost</w:t>
            </w:r>
          </w:p>
        </w:tc>
        <w:tc>
          <w:tcPr>
            <w:tcW w:w="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$9,065</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$9,065</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(1)TTM refers to the trailing twelve month period ended March 31, 2026. See “Trailing Twelve Month Financial Information” for additional information on TTM.</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(2)Refers to the Equipment Rental and Services Operations segment.</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(3)Adjusted Core EBITDA is a non-GAAP measure. See “Non-GAAP Financial Measures” for additional information on non-GAAP financial measures and a reconciliation to the most comparable GAAP measures.</w:t>
      </w:r>
    </w:p>
    <w:p>
      <w:pPr>
        <w:pStyle w:val="TextBody"/>
        <w:bidi w:val="0"/>
        <w:spacing w:lineRule="auto" w:line="288" w:before="0" w:after="0"/>
        <w:ind w:left="0" w:right="0" w:hanging="360"/>
        <w:jc w:val="left"/>
        <w:rPr/>
      </w:pPr>
      <w:r>
        <w:rPr>
          <w:rFonts w:ascii="Times New Roman;serif" w:hAnsi="Times New Roman;serif"/>
          <w:b w:val="false"/>
          <w:color w:val="000000"/>
          <w:sz w:val="16"/>
        </w:rPr>
        <w:t>(4)Adjusted net (loss) income is a non-GAAP measure that excludes stock based compensation expense related to equity awards granted to each of the Company’s Chief Executive Officer and President (the “IPO Founders Awards”). See “Non-GAAP Financial Measures” for additional information on non-GAAP financial measures and a reconciliation to the most comparable GAAP measures. For the three and twelve months ended March 31, 2026, stock based compensation expense related to the IPO Founders Awards was $17</w:t>
      </w:r>
      <w:r>
        <w:rPr>
          <w:color w:val="000000"/>
        </w:rPr>
        <w:t xml:space="preserve"> </w:t>
      </w:r>
      <w:r>
        <w:rPr>
          <w:rFonts w:ascii="Times New Roman;serif" w:hAnsi="Times New Roman;serif"/>
          <w:b w:val="false"/>
          <w:color w:val="000000"/>
          <w:sz w:val="16"/>
        </w:rPr>
        <w:t>million.</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(5)New market start up costs attributable to new locations open less than twelve months.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(6)Includes 371 full-service rental locations (161 growth and 210 mature), 27 building materials locations, and 9 dealerships as of March 31, 2026, and 292 full-service rental locations (152 growth and 140 mature), 16 building materials locations, and 8 dealerships as of March 31, 2025. Growth sites refers to full-service rental locations opened 24 months or less. Mature sites refers to full-service rental locations opened greater than 24 months. </w: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First Quarter 2026 Results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Rental Segment</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revenue increased 37% to $764 million due to significant customer demand which drove continued expansion of the Company’s operational location footprint and an increase in the size of the Company’s managed fleet.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Equipment sales (“Sales Segment”) revenue increased 23% to $179 million due to a $27 million increase in sales of new and used equipment to contractors and other end users, supported by our expanded branch footprint, and a $7 million increase in disciplined, selective placements into the OWN Program. Investor demand for the OWN Program remains oversubscribed</w:t>
      </w:r>
      <w:r>
        <w:rPr>
          <w:rFonts w:ascii="Times New Roman;serif" w:hAnsi="Times New Roman;serif"/>
          <w:b w:val="false"/>
          <w:color w:val="000000"/>
          <w:sz w:val="20"/>
          <w:shd w:fill="FFFFFF" w:val="clear"/>
        </w:rPr>
        <w: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Net loss decreased by $19 million to $29 million due to $11 million of higher operating income, partially offset by $5 million of higher total other expenses, net and $13 million of higher income tax benefit. Adjusted net loss decreased by $36 million to $12 million and adjusted net income increased by $80 million to $75 million on a TTM basis.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Adjusted Core EBITDA increased $110 million to $399 million due to the continued expansion of our full-service rental location footprint and maturation of existing rental sites within the Rental Segment</w:t>
      </w:r>
      <w:r>
        <w:rPr>
          <w:rFonts w:ascii="Times New Roman;serif" w:hAnsi="Times New Roman;serif"/>
          <w:b w:val="false"/>
          <w:color w:val="000000"/>
          <w:sz w:val="13"/>
        </w:rPr>
        <w:t>(2)(6)</w:t>
      </w:r>
      <w:r>
        <w:rPr>
          <w:rFonts w:ascii="Times New Roman;serif" w:hAnsi="Times New Roman;serif"/>
          <w:b w:val="false"/>
          <w:color w:val="000000"/>
          <w:sz w:val="20"/>
        </w:rPr>
        <w:t>. The Company believes the earnings power embedded in our branch network continues to increase as recently opened locations mature, which should support earnings growth and margin expansion over time.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Company opened 22 operational locations during the first quarter, including 19 full-service rental locations and 3 building material locations.</w:t>
      </w:r>
    </w:p>
    <w:p>
      <w:pPr>
        <w:pStyle w:val="TextBody"/>
        <w:bidi w:val="0"/>
        <w:spacing w:before="0" w:after="18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Company’s original equipment cost (“OEC”) under management increased $285 million in the first quarter to $9,065 million comprising of $3,930 million of EquipmentShare owned fleet, $5,056 million of OWN Program fleet, and $79 million of equipment on operating leases. In addition, the appraised value of the OWN Program fleet was $4,039 million as of March 31, 2026.</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Net rental equipment capex</w:t>
      </w:r>
      <w:r>
        <w:rPr>
          <w:rFonts w:ascii="Times New Roman;serif" w:hAnsi="Times New Roman;serif"/>
          <w:b w:val="false"/>
          <w:color w:val="000000"/>
          <w:sz w:val="13"/>
        </w:rPr>
        <w:t>(7)</w:t>
      </w:r>
      <w:r>
        <w:rPr>
          <w:color w:val="000000"/>
        </w:rPr>
        <w:t xml:space="preserve"> </w:t>
      </w:r>
      <w:r>
        <w:rPr>
          <w:rFonts w:ascii="Times New Roman;serif" w:hAnsi="Times New Roman;serif"/>
          <w:b w:val="false"/>
          <w:color w:val="000000"/>
          <w:sz w:val="20"/>
        </w:rPr>
        <w:t>for the first quarter was $213 million after gross purchases of rental equipment of $328 million, and was $616 million after gross purchases of rental equipment of $1,815 million for the trailing twelve month period.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As of March 31, 2026, total available liquidity was $1,605 million, which included availability on the asset-based revolving credit facility of $1,276 million and cash and cash equivalents of $329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Net leverage</w:t>
      </w:r>
      <w:r>
        <w:rPr>
          <w:rFonts w:ascii="Times New Roman;serif" w:hAnsi="Times New Roman;serif"/>
          <w:b w:val="false"/>
          <w:color w:val="000000"/>
          <w:sz w:val="13"/>
        </w:rPr>
        <w:t xml:space="preserve">(8) </w:t>
      </w:r>
      <w:r>
        <w:rPr>
          <w:rFonts w:ascii="Times New Roman;serif" w:hAnsi="Times New Roman;serif"/>
          <w:b w:val="false"/>
          <w:color w:val="000000"/>
          <w:sz w:val="20"/>
        </w:rPr>
        <w:t>decreased to 2.8x as of March 31, 2026, from 3.2x as of March 31, 2025.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(7)Reflects capital expenditures related to our rental equipment fleet, net of proceeds from the sale of rental equipment.</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(8)See “Net Debt and Leverage Calculation” for additional information on our calculation of the net leverage ratio.</w:t>
      </w:r>
    </w:p>
    <w:p>
      <w:pPr>
        <w:pStyle w:val="TextBody"/>
        <w:bidi w:val="0"/>
        <w:spacing w:before="0" w:after="0"/>
        <w:ind w:left="0" w:right="0" w:hanging="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2026 Outlook</w:t>
      </w:r>
    </w:p>
    <w:tbl>
      <w:tblPr>
        <w:tblW w:w="7883" w:type="dxa"/>
        <w:jc w:val="center"/>
        <w:tblInd w:w="0" w:type="dxa"/>
        <w:tblLayout w:type="fixed"/>
        <w:tblCellMar>
          <w:top w:w="28" w:type="dxa"/>
          <w:left w:w="28" w:type="dxa"/>
          <w:bottom w:w="28" w:type="dxa"/>
          <w:right w:w="28" w:type="dxa"/>
        </w:tblCellMar>
      </w:tblPr>
      <w:tblGrid>
        <w:gridCol w:w="1384"/>
        <w:gridCol w:w="1218"/>
        <w:gridCol w:w="1222"/>
        <w:gridCol w:w="280"/>
        <w:gridCol w:w="231"/>
        <w:gridCol w:w="180"/>
        <w:gridCol w:w="171"/>
        <w:gridCol w:w="171"/>
        <w:gridCol w:w="171"/>
        <w:gridCol w:w="253"/>
        <w:gridCol w:w="253"/>
        <w:gridCol w:w="185"/>
        <w:gridCol w:w="109"/>
        <w:gridCol w:w="109"/>
        <w:gridCol w:w="109"/>
        <w:gridCol w:w="234"/>
        <w:gridCol w:w="211"/>
        <w:gridCol w:w="164"/>
        <w:gridCol w:w="164"/>
        <w:gridCol w:w="164"/>
        <w:gridCol w:w="164"/>
        <w:gridCol w:w="236"/>
        <w:gridCol w:w="236"/>
        <w:gridCol w:w="264"/>
      </w:tblGrid>
      <w:tr>
        <w:trPr/>
        <w:tc>
          <w:tcPr>
            <w:tcW w:w="1384"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Ending</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2026</w:t>
            </w:r>
          </w:p>
        </w:tc>
      </w:tr>
      <w:tr>
        <w:trPr/>
        <w:tc>
          <w:tcPr>
            <w:tcW w:w="382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millions, except for full-service rental locations)</w:t>
            </w:r>
          </w:p>
        </w:tc>
        <w:tc>
          <w:tcPr>
            <w:tcW w:w="18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 Guidance)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 Guidance)</w:t>
            </w:r>
          </w:p>
        </w:tc>
      </w:tr>
      <w:tr>
        <w:trPr/>
        <w:tc>
          <w:tcPr>
            <w:tcW w:w="3824" w:type="dxa"/>
            <w:gridSpan w:val="3"/>
            <w:vMerge w:val="continue"/>
            <w:tcBorders/>
            <w:tcMar>
              <w:top w:w="0" w:type="dxa"/>
              <w:left w:w="0" w:type="dxa"/>
              <w:bottom w:w="0" w:type="dxa"/>
              <w:right w:w="0" w:type="dxa"/>
            </w:tcMar>
            <w:vAlign w:val="center"/>
          </w:tcPr>
          <w:p>
            <w:pPr>
              <w:pStyle w:val="Normal"/>
              <w:bidi w:val="0"/>
              <w:jc w:val="left"/>
              <w:rPr/>
            </w:pPr>
            <w:r>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Low</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Low</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High</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OEC</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$10,150</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$9,975</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$11,025</w:t>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Full-Service Rental Locations</w:t>
            </w:r>
            <w:r>
              <w:rPr>
                <w:rFonts w:ascii="Times New Roman;serif" w:hAnsi="Times New Roman;serif"/>
                <w:b w:val="false"/>
                <w:color w:val="000000"/>
                <w:sz w:val="10"/>
              </w:rPr>
              <w:t>(9)</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427</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421</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429</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$5,147</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$5,051</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$5,471</w:t>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Rental Segment</w:t>
            </w: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Revenue</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$3,366</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$3,311</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$3,587</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OWN Program Payouts</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$906</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$891</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$947</w:t>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Adjusted Core EBITDA</w:t>
            </w:r>
            <w:r>
              <w:rPr>
                <w:rFonts w:ascii="Times New Roman;serif" w:hAnsi="Times New Roman;serif"/>
                <w:b w:val="false"/>
                <w:color w:val="000000"/>
                <w:sz w:val="10"/>
              </w:rPr>
              <w:t>(10)</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$1,883</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$1,813</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$1,925</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Rental Capex</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$2,281</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$2,106</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$2,328</w:t>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Rental Capex</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$839</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$759</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$839</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OWN Program % of OEC</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(9)The Company anticipates the total number of mature rental site locations within our Rental Segment to be 264 sites by the end of 2026, up from 186 for the year ended December 31, 2025.</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(10)Includes $213 - $229 million of Sales Segment EBITDA.</w:t>
      </w:r>
    </w:p>
    <w:p>
      <w:pPr>
        <w:pStyle w:val="TextBody"/>
        <w:bidi w:val="0"/>
        <w:spacing w:before="0" w:after="0"/>
        <w:ind w:left="0" w:right="0" w:hanging="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cannot provide a reconciliation between the expected non-GAAP measures and the most directly comparable GAAP measures for the period reflected above because certain significant information required for such reconciliation is not available without unreasonable efforts. This is due to the inherent difficulty of forecasting the timing or amounts of these items that have not yet occurred and are out of the Company’s control or cannot be reasonably predicted. These items are uncertain, depend on various factors, and could have a material impact on GAAP reported results.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Conference Call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EquipmentShare will hold a conference call discussing first quarter 2026 financial results tomorrow, Thursday, May 14, 2026 at 7:30 a.m. Central Time. The conference call will be available live via a webcast at ir.equipmentshare.com. Alternatively, the call will be accessible by dialing 585-542-9983 (local) or 833-461-5787 (toll-free). The passcode for both numbers is 564125798. A replay of the webcast will also be hosted on the EquipmentShare investor relations website.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About EquipmentShare</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Founded in 2015 and headquartered in Columbia, Missouri, EquipmentShare is a nationwide construction technology and equipment solutions provider dedicated to transforming the construction industry through innovative </w:t>
      </w:r>
    </w:p>
    <w:p>
      <w:pPr>
        <w:pStyle w:val="TextBody"/>
        <w:bidi w:val="0"/>
        <w:spacing w:before="0" w:after="18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180"/>
        <w:jc w:val="left"/>
        <w:rPr/>
      </w:pPr>
      <w:r>
        <w:rPr>
          <w:rFonts w:ascii="Times New Roman;serif" w:hAnsi="Times New Roman;serif"/>
          <w:b w:val="false"/>
          <w:color w:val="000000"/>
          <w:sz w:val="20"/>
          <w:shd w:fill="FFFFFF" w:val="clear"/>
        </w:rPr>
        <w:t>tools, platforms and data-driven insights. By empowering contractors, builders and equipment owners with its proprietary technology, T3</w:t>
      </w:r>
      <w:r>
        <w:rPr>
          <w:color w:val="000000"/>
          <w:shd w:fill="FFFFFF" w:val="clear"/>
        </w:rPr>
        <w:t>Ⓡ</w:t>
      </w:r>
      <w:r>
        <w:rPr>
          <w:rFonts w:ascii="Times New Roman;serif" w:hAnsi="Times New Roman;serif"/>
          <w:b w:val="false"/>
          <w:color w:val="000000"/>
          <w:sz w:val="20"/>
          <w:shd w:fill="FFFFFF" w:val="clear"/>
        </w:rPr>
        <w:t>, EquipmentShare aims to drive productivity, efficiency and collaboration across the construction sector. With a comprehensive suite of solutions that includes a fleet management platform, telematics devices and a best-in-class equipment rental marketplace, EquipmentShare continues to lead the industry in building the future of construction. EquipmentShare is listed on the Nasdaq stock exchange under the stock symbol EQPT. For more information, visit https://www.equipmentshare.com.</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press release includes certain “forward-looking statements” for purposes of United States federal and state securities laws. Forward-looking statements are statements other than statements of historical fact and can be identified by words such as “anticipate,” “believe,” “continue,” “could,” “estimate,” “expect,” “intend,” “may,” “might,” “our vision,” “plan,” “potential,” “preliminary,” “predict,” “should,” “will,” or “would” or the negative thereof or other variations thereof or comparable terminology. These forward-looking statements are subject to numerous risks and uncertainties, most of which are difficult to predict and many of which are beyond EquipmentShare’s control, including but not limited to, risks and uncertainties related to economic, market or business conditions, the construction equipment rental industry, our operational locations and the size of our managed fleet, the ability to execute on our expansion strategy, the T3 operating system, and other risks and uncertainties. For a further list and description of such risks and uncertainties, please refer to EquipmentShare’s filings with the Securities and Exchange Commission available at www.sec.gov. All forward-looking statements, expressed or implied, included in this press release are made as of the date of this press release and are expressly qualified in their entirety by this cautionary statement. Except as otherwise required by applicable law, EquipmentShare disclaims any duty to update any forward-looking statements, all of which are expressly qualified by the statements in this section, to reflect events or circumstances after the date of this press release.</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EQUIPMENTSHARE.COM INC AND SUBSIDIARIES</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06.2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(Unaudited)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 millions, except per share data)</w:t>
      </w:r>
    </w:p>
    <w:tbl>
      <w:tblPr>
        <w:tblW w:w="9179" w:type="dxa"/>
        <w:jc w:val="center"/>
        <w:tblInd w:w="0" w:type="dxa"/>
        <w:tblLayout w:type="fixed"/>
        <w:tblCellMar>
          <w:top w:w="28" w:type="dxa"/>
          <w:left w:w="28" w:type="dxa"/>
          <w:bottom w:w="28" w:type="dxa"/>
          <w:right w:w="28" w:type="dxa"/>
        </w:tblCellMar>
      </w:tblPr>
      <w:tblGrid>
        <w:gridCol w:w="1715"/>
        <w:gridCol w:w="1507"/>
        <w:gridCol w:w="1517"/>
        <w:gridCol w:w="196"/>
        <w:gridCol w:w="541"/>
        <w:gridCol w:w="109"/>
        <w:gridCol w:w="109"/>
        <w:gridCol w:w="109"/>
        <w:gridCol w:w="109"/>
        <w:gridCol w:w="196"/>
        <w:gridCol w:w="541"/>
        <w:gridCol w:w="109"/>
        <w:gridCol w:w="109"/>
        <w:gridCol w:w="109"/>
        <w:gridCol w:w="109"/>
        <w:gridCol w:w="196"/>
        <w:gridCol w:w="556"/>
        <w:gridCol w:w="109"/>
        <w:gridCol w:w="109"/>
        <w:gridCol w:w="109"/>
        <w:gridCol w:w="109"/>
        <w:gridCol w:w="196"/>
        <w:gridCol w:w="556"/>
        <w:gridCol w:w="154"/>
      </w:tblGrid>
      <w:tr>
        <w:trPr/>
        <w:tc>
          <w:tcPr>
            <w:tcW w:w="1715"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Twelve Months Ended</w:t>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REVENUES</w:t>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Equipment rental and related services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Equipment sales</w:t>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1,653</w:t>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Equipment parts and supplies and services</w:t>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Platform:</w:t>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Telematics</w:t>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revenues</w:t>
            </w:r>
          </w:p>
        </w:tc>
        <w:tc>
          <w:tcPr>
            <w:tcW w:w="8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4,652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3,865</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COST OF REVENUES</w:t>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Direct operating costs</w:t>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OWN Program payouts</w:t>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w:t>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Equipment sales</w:t>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1,372</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Platform expense</w:t>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cost of revenues</w:t>
            </w:r>
          </w:p>
        </w:tc>
        <w:tc>
          <w:tcPr>
            <w:tcW w:w="8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3,327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2,873</w:t>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Gross profit</w:t>
            </w:r>
          </w:p>
        </w:tc>
        <w:tc>
          <w:tcPr>
            <w:tcW w:w="8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991</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SELLING, GENERAL AND ADMINISTRATIVE EXPENSES</w:t>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781</w:t>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income (loss)</w:t>
            </w:r>
          </w:p>
        </w:tc>
        <w:tc>
          <w:tcPr>
            <w:tcW w:w="8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211</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OTHER INCOME (EXPENSE)</w:t>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properties and other assets</w:t>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debt extinguishment</w:t>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w:t>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net</w:t>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other expense, net</w:t>
            </w:r>
          </w:p>
        </w:tc>
        <w:tc>
          <w:tcPr>
            <w:tcW w:w="8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(219)</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(LOSS) INCOME BEFORE BENEFIT FROM INCOME TAXES</w:t>
            </w:r>
          </w:p>
        </w:tc>
        <w:tc>
          <w:tcPr>
            <w:tcW w:w="8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w:t>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(Benefit) provision from income taxes</w:t>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(LOSS)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Deemed dividends on perpetual preferred stock</w:t>
            </w:r>
          </w:p>
        </w:tc>
        <w:tc>
          <w:tcPr>
            <w:tcW w:w="7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(loss) attributable to shareholders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Weighted average common shares outstanding:</w:t>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Earnings (loss) earnings per common share:</w:t>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EQUIPMENTSHARE.COM INC AND SUBSIDIARIES</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A - 1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06.2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A - 1</w:t>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0"/>
        </w:rPr>
        <w:t>CONDENSED CONSOLIDATED BALANCE SHEETS (</w:t>
      </w:r>
      <w:r>
        <w:rPr>
          <w:rFonts w:ascii="Times New Roman;serif" w:hAnsi="Times New Roman;serif"/>
          <w:b/>
          <w:color w:val="000000"/>
          <w:sz w:val="20"/>
          <w:shd w:fill="FFFFFF" w:val="clear"/>
        </w:rPr>
        <w:t>Unaudited)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 millions, except par value)</w:t>
      </w:r>
    </w:p>
    <w:tbl>
      <w:tblPr>
        <w:tblW w:w="10205" w:type="dxa"/>
        <w:jc w:val="center"/>
        <w:tblInd w:w="0" w:type="dxa"/>
        <w:tblLayout w:type="fixed"/>
        <w:tblCellMar>
          <w:top w:w="28" w:type="dxa"/>
          <w:left w:w="28" w:type="dxa"/>
          <w:bottom w:w="28" w:type="dxa"/>
          <w:right w:w="28" w:type="dxa"/>
        </w:tblCellMar>
      </w:tblPr>
      <w:tblGrid>
        <w:gridCol w:w="2902"/>
        <w:gridCol w:w="2347"/>
        <w:gridCol w:w="2374"/>
        <w:gridCol w:w="238"/>
        <w:gridCol w:w="676"/>
        <w:gridCol w:w="132"/>
        <w:gridCol w:w="109"/>
        <w:gridCol w:w="109"/>
        <w:gridCol w:w="109"/>
        <w:gridCol w:w="260"/>
        <w:gridCol w:w="739"/>
        <w:gridCol w:w="210"/>
      </w:tblGrid>
      <w:tr>
        <w:trPr/>
        <w:tc>
          <w:tcPr>
            <w:tcW w:w="2902" w:type="dxa"/>
            <w:tcBorders/>
            <w:vAlign w:val="center"/>
          </w:tcPr>
          <w:p>
            <w:pPr>
              <w:pStyle w:val="TableContents"/>
              <w:bidi w:val="0"/>
              <w:spacing w:before="0" w:after="283"/>
              <w:jc w:val="left"/>
              <w:rPr>
                <w:sz w:val="4"/>
                <w:szCs w:val="4"/>
              </w:rPr>
            </w:pPr>
            <w:r>
              <w:rPr>
                <w:sz w:val="4"/>
                <w:szCs w:val="4"/>
              </w:rPr>
            </w:r>
          </w:p>
        </w:tc>
        <w:tc>
          <w:tcPr>
            <w:tcW w:w="2347" w:type="dxa"/>
            <w:tcBorders/>
            <w:vAlign w:val="center"/>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7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Accounts receivable, net ($19 and $20, respectively, due from related parties)</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costs</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1,730 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Rental equipment, net</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other fixed assets, net</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Capitalized software, net</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 of use assets, operating</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Investments in non-consolidated affiliates</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net</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5,987 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LIABILITIES, PERPETUAL PREFERRED STOCK, AND EQUITY</w:t>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Accounts payable ($1 and $1, respectively, due to related parties)</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liabilities</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Manufacturer flooring plans payable</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long-term debt</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operating lease liabilities</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finance lease liabilities</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financing obligations</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880 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 net of current portion, original issue discounts, and debt issuance costs</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Operating lease liabilities, net of current portion ($6 and $5, respectively, due to related parties)</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Finance lease liabilities, net of current portion ($31 and $28, respectively, due to related parties)</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Financing obligations, net of current portion</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liabilities, net</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4,785 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5,099 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Perpetual preferred stock, net - $0.00000125 par value, 15 shares authorized, 14 and 14 shares issued and outstanding at March 31, 2026 and December 31, 2025, respectively</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 $0.00000125 par value, no shares authorized, issued and outstanding as of March 31, 2026, 273 shares authorized, 80 shares issued and outstanding at December 31, 2025</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Class A common stock - $0.00000125 par value, 3,500 shares authorized, 215 shares issued and outstanding at March 31, 2026, no shares authorized, issued and outstanding as of December 31, 2025</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Class B common stock - $0.00000125 par value, 200 shares authorized, 38 shares issued and outstanding at March 31, 2026, no shares authorized, issued and outstanding as of December 31, 2025</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Convertible preferred stock, net - $0.00000125 par value, no shares authorized, issued and outstanding as of March 31, 2026, 149 shares authorized, 142 and shares issued and outstanding at December 31, 2025</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Treasury stock, at cost, 5 and 5 shares at March 31, 2026 and 2025, respectively</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paid-in-capital</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 (accumulated deficit)</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 (loss)</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762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equity</w:t>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1,201 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perpetual preferred stock, and equity</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6,357 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5,987 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EQUIPMENTSHARE.COM INC AND SUBSIDIARIES</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A - 2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06.2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A - 2</w:t>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0"/>
        </w:rPr>
        <w:t>CONDENSED CONSOLIDATED STATEMENTS OF CASH FLOWS (</w:t>
      </w:r>
      <w:r>
        <w:rPr>
          <w:rFonts w:ascii="Times New Roman;serif" w:hAnsi="Times New Roman;serif"/>
          <w:b/>
          <w:color w:val="000000"/>
          <w:sz w:val="20"/>
          <w:shd w:fill="FFFFFF" w:val="clear"/>
        </w:rPr>
        <w:t>Unaudited)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 millions)</w:t>
      </w:r>
    </w:p>
    <w:tbl>
      <w:tblPr>
        <w:tblW w:w="8768" w:type="dxa"/>
        <w:jc w:val="center"/>
        <w:tblInd w:w="0" w:type="dxa"/>
        <w:tblLayout w:type="fixed"/>
        <w:tblCellMar>
          <w:top w:w="28" w:type="dxa"/>
          <w:left w:w="28" w:type="dxa"/>
          <w:bottom w:w="28" w:type="dxa"/>
          <w:right w:w="28" w:type="dxa"/>
        </w:tblCellMar>
      </w:tblPr>
      <w:tblGrid>
        <w:gridCol w:w="2516"/>
        <w:gridCol w:w="2209"/>
        <w:gridCol w:w="2219"/>
        <w:gridCol w:w="196"/>
        <w:gridCol w:w="421"/>
        <w:gridCol w:w="109"/>
        <w:gridCol w:w="109"/>
        <w:gridCol w:w="109"/>
        <w:gridCol w:w="109"/>
        <w:gridCol w:w="196"/>
        <w:gridCol w:w="421"/>
        <w:gridCol w:w="154"/>
      </w:tblGrid>
      <w:tr>
        <w:trPr/>
        <w:tc>
          <w:tcPr>
            <w:tcW w:w="2516"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6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r>
      <w:tr>
        <w:trPr/>
        <w:tc>
          <w:tcPr>
            <w:tcW w:w="6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ACTIVITIES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to net cash used by operating activities: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expense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issuance costs and original issue discounts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Allowance for credit losses and doubtful accounts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operating lease cost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operating assets and liabilities: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costs and other assets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manufacturer flooring plans payable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liabilities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operating activities</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INVESTING ACTIVITIES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rental equipment ($1 from related parties in 2025)</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rental equipment ($21 from related parties in 2025)</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and deposits on property and other fixed assets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Investments in internally developed software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investments in equity and debt securities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investments in equity and debt securities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businesses, net of cash acquired</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FINANCING ACTIVITIES</w:t>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on long-term debt and finance leases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long-term debt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on financing obligations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on financing obligations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Proceeds from issuance of class A common stock upon initial public offering, net of underwriting </w:t>
              <w:br/>
              <w:t>   discount and commissions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of equity issuance costs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financing activities</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and cash equivalents</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beginning of period</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CASH FLOW DISCLOSURES:</w:t>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taxes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ACTIVITIES: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rental equipment remaining in accounts payable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property and other fixed assets remaining in accounts payable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perpetual preferred stock to redemption value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for capitalized software development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A - 3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A - 3</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Trailing Twelve Month Financial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press release includes certain unaudited financial information for the trailing twelve months (“TTM”) ended March 31, 2026 and 2025, which is calculated as the three months ended March 31, 2026 and 2025, plus the year ended December 31, 2025 and 2024 less the three months ended March 31, 2025 and 2024. This presentation is not in accordance with generally accepted accounting principles (“GAAP”). However, the Company believes that this presentation provides useful information to investors regarding our recent financial performance, and management views this presentation of the four most recently completed fiscal quarters as a key measurement period for investors to assess our historical results. In addition, the Company uses TTM information to evaluate our financial performance for ongoing planning purposes.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press release contains certain financial information that is not presented in accordance with GAAP. Non-GAAP financial measures should not be used as a substitute for the corresponding GAAP measures. Non-GAAP measures in this presentation may be calculated in a way that is not comparable to similarly-titled measures reported by other companies. Non-GAAP measures in this presentation include, but are not limited to, “EBITDA”, “Adjusted Earnings Per Share”, “Adjusted Net (Loss) Income”, “Core EBITDA”, and “Adjusted Core EBITDA”, and certain ratios and other metrics derived therefrom. These non-GAAP financial measures are not measures of financial performance in accordance with GAAP and may exclude items that are significant in understanding and assessing the Company’s financial results. Therefore, these measures should not be considered in isolation or as an alternative to net income, cash flows from operations or other measures of the Company’s profitability, liquidity or performance under GAAP. Schedules that reconcile certain non-GAAP financial measures to a financial measure included in financial statements calculated and presented in accordance with GAAP are included in the below tables.</w:t>
      </w:r>
    </w:p>
    <w:p>
      <w:pPr>
        <w:pStyle w:val="TextBody"/>
        <w:bidi w:val="0"/>
        <w:spacing w:lineRule="auto" w:line="288" w:before="0" w:after="180"/>
        <w:jc w:val="left"/>
        <w:rPr/>
      </w:pPr>
      <w:r>
        <w:rPr>
          <w:rFonts w:ascii="Times New Roman;serif" w:hAnsi="Times New Roman;serif"/>
          <w:b/>
          <w:color w:val="000000"/>
          <w:sz w:val="20"/>
        </w:rPr>
        <w:t>EBITDA, Adjusted Net (Loss) Income, Adjusted Earnings Per Share, Core EBITDA, and Adjusted Core EBITDA</w:t>
      </w:r>
      <w:r>
        <w:rPr>
          <w:color w:val="000000"/>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EBITDA is defined as net income before interest expense, income taxes, depreciation and amortization and non-cash stock compensation expense. The exclusion of these items and other similar items in our non-GAAP presentation should not be interpreted as implying that these items are non-recurring, infrequent or unusual. The Company believes EBITDA is meaningful to investors because it provides investors with a useful representation of our ongoing operations and performance.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Adjusted Net (Loss) Income is defined as net (loss) income adjusted to exclude stock based compensation expense related to the IPO Founders Awards. The Company believes Adjusted Net (Loss) Income is meaningful to investors because it provides investors with a useful representation of our ongoing operations and performance.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Adjusted Earnings Per Share (“Adjusted EPS”) is defined as Adjusted Net (Loss) Income less deemed dividends on perpetual preferred stock divided by adjusted fully diluted weighted average diluted shares outstanding. The Company believes Adjusted EPS is meaningful to investors because it provides investors with a useful representation of our ongoing operations and performance.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Core EBITDA is defined as the sum of Equipment Rental and Services Operations Segment EBITDA and Equipment Sales Segment EBITDA. The Company believes Core EBITDA is meaningful to investors because it reflects the profitability of our two core segments.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Adjusted Core EBITDA is defined as Core EBITDA adjusted for new market start-up costs attributable to new locations less than twelve months old. The Company believes Adjusted Core EBITDA is meaningful to investors as it is the primary operating performance measure used by the Company to assess its core operating performance.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Adjusted Core EBITDA can also be calculated as EBITDA less amortization and non-cash stock compensation expense, other (income) expense, (gain) loss on sale of properties and other assets, and All Other Segment Adjusted EBITDA, plus the sum of OWN Program payouts, equipment and vehicle operating lease expense, loss (gain) on debt extinguishment, and new market startup costs. Adjusted Core EBITDA reflects the Company’s underlying operating performance by excluding items unique to the Company’s organic growth and financing strategy such as </w:t>
      </w:r>
    </w:p>
    <w:p>
      <w:pPr>
        <w:pStyle w:val="TextBody"/>
        <w:bidi w:val="0"/>
        <w:spacing w:before="0" w:after="18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A - 4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A - 4</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 OWN program payouts and (ii) new market startup costs. As a capital-light fleet growth model, the OWN Program enables third-party participants to own rental equipment deployed and managed by EquipmentShare. When the equipment rents, OWN Program participants receive a portion of the rental revenue generated by the equipment. When equipment is included in the OWN Program rather than purchased and owned or leased directly by the Company, depreciation and interest expense associated with that equipment are reduced, while OWN Program payouts are recorded as cost of revenues. This shift increases cost of revenues and decreases depreciation and interest expense. Excluding OWN Program payouts assists investors in evaluating the Company’s business and performance relative to industry peers as no other company uses a similar model.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New market startup costs reflect the upfront investments required to support our continued geographic expansion. As the only large-scale equipment rental provider that is fully focused on organic growth, excluding new market startup costs provides greater transparency with respect to the Company's financial condition and results of operation as it enhances comparability with industry peers.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These non-GAAP financial measures should be considered supplemental to and are not a substitute for financial information prepared in accordance with GAAP. Our use of the terms EBITDA and Adjusted Core EBITDA may vary from the use of similar terms by other companies in our industry and accordingly may not be comparable to similarly titled measures used by other companies.</w: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(See Accompanying Tables)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EQUIPMENTSHARE.COM INC AND SUBSIDIARIES</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A - 5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06.2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A - 5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SUPPLEMENTAL SCHEDULES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Segment Information</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in millions)</w:t>
      </w:r>
    </w:p>
    <w:tbl>
      <w:tblPr>
        <w:tblW w:w="9525" w:type="dxa"/>
        <w:jc w:val="center"/>
        <w:tblInd w:w="0" w:type="dxa"/>
        <w:tblLayout w:type="fixed"/>
        <w:tblCellMar>
          <w:top w:w="28" w:type="dxa"/>
          <w:left w:w="28" w:type="dxa"/>
          <w:bottom w:w="28" w:type="dxa"/>
          <w:right w:w="28" w:type="dxa"/>
        </w:tblCellMar>
      </w:tblPr>
      <w:tblGrid>
        <w:gridCol w:w="1211"/>
        <w:gridCol w:w="1063"/>
        <w:gridCol w:w="1071"/>
        <w:gridCol w:w="185"/>
        <w:gridCol w:w="185"/>
        <w:gridCol w:w="185"/>
        <w:gridCol w:w="178"/>
        <w:gridCol w:w="178"/>
        <w:gridCol w:w="178"/>
        <w:gridCol w:w="185"/>
        <w:gridCol w:w="185"/>
        <w:gridCol w:w="185"/>
        <w:gridCol w:w="109"/>
        <w:gridCol w:w="109"/>
        <w:gridCol w:w="109"/>
        <w:gridCol w:w="275"/>
        <w:gridCol w:w="275"/>
        <w:gridCol w:w="276"/>
        <w:gridCol w:w="109"/>
        <w:gridCol w:w="109"/>
        <w:gridCol w:w="109"/>
        <w:gridCol w:w="242"/>
        <w:gridCol w:w="217"/>
        <w:gridCol w:w="188"/>
        <w:gridCol w:w="188"/>
        <w:gridCol w:w="188"/>
        <w:gridCol w:w="188"/>
        <w:gridCol w:w="242"/>
        <w:gridCol w:w="217"/>
        <w:gridCol w:w="188"/>
        <w:gridCol w:w="109"/>
        <w:gridCol w:w="109"/>
        <w:gridCol w:w="109"/>
        <w:gridCol w:w="255"/>
        <w:gridCol w:w="255"/>
        <w:gridCol w:w="361"/>
      </w:tblGrid>
      <w:tr>
        <w:trPr/>
        <w:tc>
          <w:tcPr>
            <w:tcW w:w="121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Twelve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Equipment Rental and Services Operations</w:t>
            </w:r>
          </w:p>
        </w:tc>
        <w:tc>
          <w:tcPr>
            <w:tcW w:w="5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Reportable segment revenue</w:t>
            </w:r>
          </w:p>
        </w:tc>
        <w:tc>
          <w:tcPr>
            <w:tcW w:w="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$764</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$2,932</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36.1%</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Reportable segment Adjusted EBITDA</w:t>
            </w:r>
          </w:p>
        </w:tc>
        <w:tc>
          <w:tcPr>
            <w:tcW w:w="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$323</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$1,253</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46.9%</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Reportable segment Adjusted EBITDA margin</w:t>
            </w:r>
          </w:p>
        </w:tc>
        <w:tc>
          <w:tcPr>
            <w:tcW w:w="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42.3%</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42.7%</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7.8%</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Equipment Sales</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Reportable segment revenue</w:t>
            </w:r>
          </w:p>
        </w:tc>
        <w:tc>
          <w:tcPr>
            <w:tcW w:w="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$179</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$1,575</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Reportable segment Adjusted EBITDA</w:t>
            </w:r>
          </w:p>
        </w:tc>
        <w:tc>
          <w:tcPr>
            <w:tcW w:w="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$277</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Reportable segment Adjusted EBITDA margin</w:t>
            </w:r>
          </w:p>
        </w:tc>
        <w:tc>
          <w:tcPr>
            <w:tcW w:w="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14.5%</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17.6%</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EQUIPMENTSHARE.COM INC AND SUBSIDIARIES</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A - 6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06.2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A - 6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SUPPLEMENTAL SCHEDULES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Equipment Sales Information</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in millions)</w:t>
      </w:r>
    </w:p>
    <w:tbl>
      <w:tblPr>
        <w:tblW w:w="8025" w:type="dxa"/>
        <w:jc w:val="left"/>
        <w:tblInd w:w="0" w:type="dxa"/>
        <w:tblLayout w:type="fixed"/>
        <w:tblCellMar>
          <w:top w:w="28" w:type="dxa"/>
          <w:left w:w="28" w:type="dxa"/>
          <w:bottom w:w="28" w:type="dxa"/>
          <w:right w:w="28" w:type="dxa"/>
        </w:tblCellMar>
      </w:tblPr>
      <w:tblGrid>
        <w:gridCol w:w="1383"/>
        <w:gridCol w:w="1217"/>
        <w:gridCol w:w="1225"/>
        <w:gridCol w:w="196"/>
        <w:gridCol w:w="421"/>
        <w:gridCol w:w="109"/>
        <w:gridCol w:w="109"/>
        <w:gridCol w:w="109"/>
        <w:gridCol w:w="109"/>
        <w:gridCol w:w="196"/>
        <w:gridCol w:w="421"/>
        <w:gridCol w:w="109"/>
        <w:gridCol w:w="109"/>
        <w:gridCol w:w="109"/>
        <w:gridCol w:w="109"/>
        <w:gridCol w:w="196"/>
        <w:gridCol w:w="556"/>
        <w:gridCol w:w="109"/>
        <w:gridCol w:w="109"/>
        <w:gridCol w:w="109"/>
        <w:gridCol w:w="109"/>
        <w:gridCol w:w="196"/>
        <w:gridCol w:w="556"/>
        <w:gridCol w:w="154"/>
      </w:tblGrid>
      <w:tr>
        <w:trPr/>
        <w:tc>
          <w:tcPr>
            <w:tcW w:w="1383"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Twelve Months Ended</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Equipment sales to OWN Program participants</w:t>
            </w:r>
            <w:r>
              <w:rPr>
                <w:rFonts w:ascii="Times New Roman;serif" w:hAnsi="Times New Roman;serif"/>
                <w:b w:val="false"/>
                <w:color w:val="000000"/>
                <w:sz w:val="10"/>
              </w:rPr>
              <w:t xml:space="preserve">(1)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equipment sales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 - equipment sales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equipment sold to OWN Program participants</w:t>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other equipment sales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cost of revenues - equipment sales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(1)For the three months ended March 31, 2026 and 2025, equipment sales to OWN Program participants included net revenue of $6 million and $13 million, respectively, recognized on an agent basis, with overall transaction values of $41 million and $97 million, respectively. For the twelve months ended March 31, 2026 and 2025, equipment sales to OWN Program participants included net revenue of $100 million and $71 million, respectively, recognized on an agent basis, with overall transaction values of $691 million and $385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EQUIPMENTSHARE.COM INC AND SUBSIDIARIES</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A - 7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06.2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A - 7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SUPPLEMENTAL SCHEDULES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EBITDA, Core EBITDA, and Adjusted Core EBITDA GAAP Reconciliation</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in millions)</w:t>
      </w:r>
    </w:p>
    <w:tbl>
      <w:tblPr>
        <w:tblW w:w="9300" w:type="dxa"/>
        <w:jc w:val="left"/>
        <w:tblInd w:w="0" w:type="dxa"/>
        <w:tblLayout w:type="fixed"/>
        <w:tblCellMar>
          <w:top w:w="28" w:type="dxa"/>
          <w:left w:w="28" w:type="dxa"/>
          <w:bottom w:w="28" w:type="dxa"/>
          <w:right w:w="28" w:type="dxa"/>
        </w:tblCellMar>
      </w:tblPr>
      <w:tblGrid>
        <w:gridCol w:w="1826"/>
        <w:gridCol w:w="1604"/>
        <w:gridCol w:w="1610"/>
        <w:gridCol w:w="196"/>
        <w:gridCol w:w="436"/>
        <w:gridCol w:w="109"/>
        <w:gridCol w:w="109"/>
        <w:gridCol w:w="109"/>
        <w:gridCol w:w="109"/>
        <w:gridCol w:w="196"/>
        <w:gridCol w:w="436"/>
        <w:gridCol w:w="109"/>
        <w:gridCol w:w="109"/>
        <w:gridCol w:w="109"/>
        <w:gridCol w:w="109"/>
        <w:gridCol w:w="196"/>
        <w:gridCol w:w="571"/>
        <w:gridCol w:w="109"/>
        <w:gridCol w:w="109"/>
        <w:gridCol w:w="109"/>
        <w:gridCol w:w="109"/>
        <w:gridCol w:w="196"/>
        <w:gridCol w:w="571"/>
        <w:gridCol w:w="154"/>
      </w:tblGrid>
      <w:tr>
        <w:trPr/>
        <w:tc>
          <w:tcPr>
            <w:tcW w:w="1826"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Twelve Months Ended</w:t>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Equipment Rental and Services Operations Segment Adjusted 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Equipment Sales Segment Adjusted EBITDA</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Core EBITDA</w:t>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1,105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Plus: New market startup costs</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Core EBITDA</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1,776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1,317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100" w:type="dxa"/>
        <w:jc w:val="left"/>
        <w:tblInd w:w="0" w:type="dxa"/>
        <w:tblLayout w:type="fixed"/>
        <w:tblCellMar>
          <w:top w:w="28" w:type="dxa"/>
          <w:left w:w="28" w:type="dxa"/>
          <w:bottom w:w="28" w:type="dxa"/>
          <w:right w:w="28" w:type="dxa"/>
        </w:tblCellMar>
      </w:tblPr>
      <w:tblGrid>
        <w:gridCol w:w="1386"/>
        <w:gridCol w:w="1223"/>
        <w:gridCol w:w="1231"/>
        <w:gridCol w:w="196"/>
        <w:gridCol w:w="436"/>
        <w:gridCol w:w="109"/>
        <w:gridCol w:w="109"/>
        <w:gridCol w:w="109"/>
        <w:gridCol w:w="109"/>
        <w:gridCol w:w="196"/>
        <w:gridCol w:w="436"/>
        <w:gridCol w:w="109"/>
        <w:gridCol w:w="109"/>
        <w:gridCol w:w="109"/>
        <w:gridCol w:w="109"/>
        <w:gridCol w:w="196"/>
        <w:gridCol w:w="571"/>
        <w:gridCol w:w="109"/>
        <w:gridCol w:w="109"/>
        <w:gridCol w:w="109"/>
        <w:gridCol w:w="109"/>
        <w:gridCol w:w="196"/>
        <w:gridCol w:w="571"/>
        <w:gridCol w:w="154"/>
      </w:tblGrid>
      <w:tr>
        <w:trPr/>
        <w:tc>
          <w:tcPr>
            <w:tcW w:w="1386"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Twelve Months Ended</w:t>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Plus: (Benefit) provision for income taxes</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Plus: Depreciation and amortization expense</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Plus: Interest expense</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Plus: Non-cash stock compensation</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EBITDA</w:t>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592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Non-cash stock compensation</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(Gain) loss on sale of properties and other assets</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Other (income) expense, net</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Plus: OWN Program payouts</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Plus: Equipment operating lease expense</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Plus: Loss on debt extinguishment</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Non-Core EBITDA</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Core EBITDA</w:t>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1,105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Plus: New market startup costs</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Core EBITDA</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1,776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1,317</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EQUIPMENTSHARE.COM INC AND SUBSIDIARIES</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A - 8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06.2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A - 8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SUPPLEMENTAL SCHEDULES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Adjusted Net (Loss) Income and Adjusted EPS GAAP Reconciliation</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in millions)</w:t>
      </w:r>
    </w:p>
    <w:tbl>
      <w:tblPr>
        <w:tblW w:w="10205" w:type="dxa"/>
        <w:jc w:val="left"/>
        <w:tblInd w:w="0" w:type="dxa"/>
        <w:tblLayout w:type="fixed"/>
        <w:tblCellMar>
          <w:top w:w="28" w:type="dxa"/>
          <w:left w:w="28" w:type="dxa"/>
          <w:bottom w:w="28" w:type="dxa"/>
          <w:right w:w="28" w:type="dxa"/>
        </w:tblCellMar>
      </w:tblPr>
      <w:tblGrid>
        <w:gridCol w:w="2122"/>
        <w:gridCol w:w="1864"/>
        <w:gridCol w:w="1872"/>
        <w:gridCol w:w="196"/>
        <w:gridCol w:w="539"/>
        <w:gridCol w:w="109"/>
        <w:gridCol w:w="109"/>
        <w:gridCol w:w="109"/>
        <w:gridCol w:w="109"/>
        <w:gridCol w:w="196"/>
        <w:gridCol w:w="539"/>
        <w:gridCol w:w="109"/>
        <w:gridCol w:w="109"/>
        <w:gridCol w:w="109"/>
        <w:gridCol w:w="109"/>
        <w:gridCol w:w="196"/>
        <w:gridCol w:w="481"/>
        <w:gridCol w:w="109"/>
        <w:gridCol w:w="109"/>
        <w:gridCol w:w="109"/>
        <w:gridCol w:w="109"/>
        <w:gridCol w:w="196"/>
        <w:gridCol w:w="539"/>
        <w:gridCol w:w="157"/>
      </w:tblGrid>
      <w:tr>
        <w:trPr/>
        <w:tc>
          <w:tcPr>
            <w:tcW w:w="2122"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Twelve Months Ended</w:t>
            </w:r>
          </w:p>
        </w:tc>
      </w:tr>
      <w:tr>
        <w:trPr/>
        <w:tc>
          <w:tcPr>
            <w:tcW w:w="5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r>
      <w:tr>
        <w:trPr/>
        <w:tc>
          <w:tcPr>
            <w:tcW w:w="5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Plus: IPO Founders Awards Stock Compensation Expense</w:t>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net (loss) income</w:t>
            </w:r>
          </w:p>
        </w:tc>
        <w:tc>
          <w:tcPr>
            <w:tcW w:w="7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Deemed dividends on perpetual preferred stock</w:t>
            </w:r>
          </w:p>
        </w:tc>
        <w:tc>
          <w:tcPr>
            <w:tcW w:w="7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net (loss) income used for calculation of adjusted EPS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Weighted-average common shares used in GAAP diluted net loss (income) per share</w:t>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IPO Founders Awards</w:t>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Non-GAAP weighted-average common shares</w:t>
            </w:r>
          </w:p>
        </w:tc>
        <w:tc>
          <w:tcPr>
            <w:tcW w:w="7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GAAP diluted net (loss) income per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impact on diluted net (loss) income per share from non-GAAP adjustments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r>
      <w:tr>
        <w:trPr/>
        <w:tc>
          <w:tcPr>
            <w:tcW w:w="5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EPS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(0.77)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(0.59)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EQUIPMENTSHARE.COM INC AND SUBSIDIARIES</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A - 9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06.2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A - 9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SUPPLEMENTAL SCHEDULES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Net Debt and Leverage Calculation</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in millions)</w:t>
      </w:r>
    </w:p>
    <w:tbl>
      <w:tblPr>
        <w:tblW w:w="8303" w:type="dxa"/>
        <w:jc w:val="center"/>
        <w:tblInd w:w="0" w:type="dxa"/>
        <w:tblLayout w:type="fixed"/>
        <w:tblCellMar>
          <w:top w:w="28" w:type="dxa"/>
          <w:left w:w="28" w:type="dxa"/>
          <w:bottom w:w="28" w:type="dxa"/>
          <w:right w:w="28" w:type="dxa"/>
        </w:tblCellMar>
      </w:tblPr>
      <w:tblGrid>
        <w:gridCol w:w="2235"/>
        <w:gridCol w:w="1965"/>
        <w:gridCol w:w="1979"/>
        <w:gridCol w:w="196"/>
        <w:gridCol w:w="571"/>
        <w:gridCol w:w="109"/>
        <w:gridCol w:w="109"/>
        <w:gridCol w:w="109"/>
        <w:gridCol w:w="109"/>
        <w:gridCol w:w="196"/>
        <w:gridCol w:w="571"/>
        <w:gridCol w:w="154"/>
      </w:tblGrid>
      <w:tr>
        <w:trPr/>
        <w:tc>
          <w:tcPr>
            <w:tcW w:w="2235"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Twelve Months Ended</w:t>
            </w:r>
          </w:p>
        </w:tc>
      </w:tr>
      <w:tr>
        <w:trPr/>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r>
      <w:tr>
        <w:trPr/>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 net of current portion, original issue discounts, and debt issuance costs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long-term debt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 liabilities, net of current portion (Equipment)</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finance lease liabilities (Equipment)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Financing obligations, net of current portion (Equipment)</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financing obligations (Equipment)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debt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2,828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2,582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EBITDA</w:t>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market startup costs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leverage ratio</w:t>
            </w:r>
          </w:p>
        </w:tc>
        <w:tc>
          <w:tcPr>
            <w:tcW w:w="87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2.8x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3.2x</w:t>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Contact:</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Rhett Butler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VP, Investor Relations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ir@equipmentshare.com</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A - 10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A - 10</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5103</Words>
  <Characters>28167</Characters>
  <CharactersWithSpaces>32455</CharactersWithSpaces>
  <Paragraphs>1134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