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219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219190"/>
                    </a:xfrm>
                    <a:prstGeom prst="rect">
                      <a:avLst/>
                    </a:prstGeom>
                    <a:noFill/>
                  </pic:spPr>
                </pic:pic>
              </a:graphicData>
            </a:graphic>
          </wp:anchor>
        </w:drawing>
      </w:r>
    </w:p>
    <w:p>
      <w:pPr>
        <w:spacing w:after="0" w:line="1285" w:lineRule="exact"/>
        <w:rPr>
          <w:sz w:val="24"/>
          <w:szCs w:val="24"/>
          <w:color w:val="auto"/>
        </w:rPr>
      </w:pPr>
    </w:p>
    <w:p>
      <w:pPr>
        <w:sectPr>
          <w:pgSz w:w="11900" w:h="16874"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Schlacks Jabbok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40"/>
        <w:spacing w:after="0" w:line="365" w:lineRule="auto"/>
        <w:rPr>
          <w:sz w:val="20"/>
          <w:szCs w:val="20"/>
          <w:color w:val="auto"/>
        </w:rPr>
      </w:pPr>
      <w:r>
        <w:rPr>
          <w:rFonts w:ascii="Times New Roman" w:cs="Times New Roman" w:eastAsia="Times New Roman" w:hAnsi="Times New Roman"/>
          <w:sz w:val="17"/>
          <w:szCs w:val="17"/>
          <w:color w:val="0000FF"/>
        </w:rPr>
        <w:t>C/O EQUIPMENTSHARE.COM INC, 5710 BULL RUN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EquipmentShare.com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EQPT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4" w:lineRule="exact"/>
        <w:rPr>
          <w:sz w:val="24"/>
          <w:szCs w:val="24"/>
          <w:color w:val="auto"/>
        </w:rPr>
      </w:pPr>
    </w:p>
    <w:p>
      <w:pPr>
        <w:jc w:val="center"/>
        <w:ind w:right="115"/>
        <w:spacing w:after="0"/>
        <w:rPr>
          <w:sz w:val="20"/>
          <w:szCs w:val="20"/>
          <w:color w:val="auto"/>
        </w:rPr>
      </w:pPr>
      <w:r>
        <w:rPr>
          <w:rFonts w:ascii="Times New Roman" w:cs="Times New Roman" w:eastAsia="Times New Roman" w:hAnsi="Times New Roman"/>
          <w:sz w:val="17"/>
          <w:szCs w:val="17"/>
          <w:color w:val="0000FF"/>
        </w:rPr>
        <w:t xml:space="preserve">Co-Founder &amp; CEO </w:t>
      </w:r>
      <w:r>
        <w:rPr>
          <w:rFonts w:ascii="Times New Roman" w:cs="Times New Roman" w:eastAsia="Times New Roman" w:hAnsi="Times New Roman"/>
          <w:sz w:val="21"/>
          <w:szCs w:val="21"/>
          <w:color w:val="000000"/>
        </w:rPr>
        <w:t>/</w:t>
      </w:r>
      <w:r>
        <w:rPr>
          <w:rFonts w:ascii="Times New Roman" w:cs="Times New Roman" w:eastAsia="Times New Roman" w:hAnsi="Times New Roman"/>
          <w:sz w:val="17"/>
          <w:szCs w:val="17"/>
          <w:color w:val="0000FF"/>
        </w:rPr>
        <w:t xml:space="preserve"> Member of 10%</w:t>
      </w:r>
    </w:p>
    <w:p>
      <w:pPr>
        <w:spacing w:after="0" w:line="31" w:lineRule="exact"/>
        <w:rPr>
          <w:sz w:val="24"/>
          <w:szCs w:val="24"/>
          <w:color w:val="auto"/>
        </w:rPr>
      </w:pPr>
    </w:p>
    <w:p>
      <w:pPr>
        <w:jc w:val="center"/>
        <w:ind w:right="115"/>
        <w:spacing w:after="0"/>
        <w:rPr>
          <w:sz w:val="20"/>
          <w:szCs w:val="20"/>
          <w:color w:val="auto"/>
        </w:rPr>
      </w:pPr>
      <w:r>
        <w:rPr>
          <w:rFonts w:ascii="Times New Roman" w:cs="Times New Roman" w:eastAsia="Times New Roman" w:hAnsi="Times New Roman"/>
          <w:sz w:val="17"/>
          <w:szCs w:val="17"/>
          <w:color w:val="0000FF"/>
        </w:rPr>
        <w:t>owner group</w:t>
      </w:r>
    </w:p>
    <w:p>
      <w:pPr>
        <w:spacing w:after="0" w:line="265" w:lineRule="exact"/>
        <w:rPr>
          <w:sz w:val="24"/>
          <w:szCs w:val="24"/>
          <w:color w:val="auto"/>
        </w:rPr>
      </w:pPr>
    </w:p>
    <w:p>
      <w:pPr>
        <w:sectPr>
          <w:pgSz w:w="11900" w:h="16874" w:orient="portrait"/>
          <w:cols w:equalWidth="0" w:num="3">
            <w:col w:w="3200" w:space="720"/>
            <w:col w:w="3095" w:space="720"/>
            <w:col w:w="3265"/>
          </w:cols>
          <w:pgMar w:left="460" w:top="219" w:right="439" w:bottom="0" w:gutter="0" w:footer="0" w:header="0"/>
          <w:type w:val="continuous"/>
        </w:sect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5"/>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6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ind w:left="380"/>
              <w:spacing w:after="0" w:line="145" w:lineRule="exact"/>
              <w:rPr>
                <w:sz w:val="20"/>
                <w:szCs w:val="20"/>
                <w:color w:val="auto"/>
              </w:rPr>
            </w:pPr>
            <w:r>
              <w:rPr>
                <w:rFonts w:ascii="Arial" w:cs="Arial" w:eastAsia="Arial" w:hAnsi="Arial"/>
                <w:sz w:val="13"/>
                <w:szCs w:val="13"/>
                <w:color w:val="auto"/>
              </w:rPr>
              <w:t>Line)</w:t>
            </w:r>
          </w:p>
        </w:tc>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COLUMBIA</w:t>
            </w:r>
          </w:p>
        </w:tc>
        <w:tc>
          <w:tcPr>
            <w:tcW w:w="8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MO</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65201</w:t>
            </w: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40" w:type="dxa"/>
            <w:vAlign w:val="bottom"/>
            <w:gridSpan w:val="4"/>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760" w:type="dxa"/>
            <w:vAlign w:val="bottom"/>
            <w:tcBorders>
              <w:bottom w:val="single" w:sz="8" w:color="9A9A9A"/>
            </w:tcBorders>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4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760" w:type="dxa"/>
            <w:vAlign w:val="bottom"/>
            <w:tcBorders>
              <w:top w:val="single" w:sz="8" w:color="EEEEEE"/>
            </w:tcBorders>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00" w:type="dxa"/>
            <w:vAlign w:val="bottom"/>
            <w:vMerge w:val="restart"/>
          </w:tcPr>
          <w:p>
            <w:pPr>
              <w:ind w:left="140"/>
              <w:spacing w:after="0"/>
              <w:rPr>
                <w:sz w:val="20"/>
                <w:szCs w:val="20"/>
                <w:color w:val="auto"/>
              </w:rPr>
            </w:pPr>
            <w:r>
              <w:rPr>
                <w:rFonts w:ascii="Arial" w:cs="Arial" w:eastAsia="Arial" w:hAnsi="Arial"/>
                <w:sz w:val="13"/>
                <w:szCs w:val="13"/>
                <w:color w:val="auto"/>
              </w:rPr>
              <w:t>(State)</w:t>
            </w:r>
          </w:p>
        </w:tc>
        <w:tc>
          <w:tcPr>
            <w:tcW w:w="218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180" w:type="dxa"/>
            <w:vAlign w:val="bottom"/>
            <w:gridSpan w:val="2"/>
            <w:vMerge w:val="continue"/>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0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80" w:type="dxa"/>
            <w:vAlign w:val="bottom"/>
            <w:gridSpan w:val="2"/>
          </w:tcPr>
          <w:p>
            <w:pPr>
              <w:ind w:left="1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8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8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28,300</w:t>
            </w:r>
          </w:p>
        </w:tc>
        <w:tc>
          <w:tcPr>
            <w:tcW w:w="5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20.83</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28,300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21,700</w:t>
            </w:r>
          </w:p>
        </w:tc>
        <w:tc>
          <w:tcPr>
            <w:tcW w:w="5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tcBorders>
              <w:bottom w:val="single" w:sz="8" w:color="2C2C2C"/>
            </w:tcBorders>
          </w:tcPr>
          <w:p>
            <w:pPr>
              <w:jc w:val="center"/>
              <w:ind w:right="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21.5</w:t>
            </w:r>
            <w:r>
              <w:rPr>
                <w:rFonts w:ascii="Times New Roman" w:cs="Times New Roman" w:eastAsia="Times New Roman" w:hAnsi="Times New Roman"/>
                <w:sz w:val="22"/>
                <w:szCs w:val="22"/>
                <w:color w:val="008000"/>
                <w:vertAlign w:val="superscript"/>
              </w:rPr>
              <w:t>(2)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50,000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EQS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13,592,263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Heritage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EQS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714,285</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Legacy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purchased in multiple transactions at prices ranging from $20.34 to $21.32 per share.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purchased in multiple transactions at prices ranging from $21.40 to $21.57 per share.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member of EQS Heritage Holdings LLC and, jointly with William John Schlacks, has controlling voting and dispositive power with regard to the shares held by the entity. The reporting person disclaims beneficial ownership of such securities for purposes of Section 16, except to the extent of his pecuniary interest therein, if any, and this report shall not be deemed an admission that such shares are beneficially owned by him for Section 16 or any other purpose.</w:t>
      </w:r>
    </w:p>
    <w:p>
      <w:pPr>
        <w:spacing w:after="0" w:line="20" w:lineRule="exact"/>
        <w:rPr>
          <w:rFonts w:ascii="Times New Roman" w:cs="Times New Roman" w:eastAsia="Times New Roman" w:hAnsi="Times New Roman"/>
          <w:sz w:val="13"/>
          <w:szCs w:val="13"/>
          <w:color w:val="008000"/>
        </w:rPr>
      </w:pPr>
    </w:p>
    <w:p>
      <w:pPr>
        <w:ind w:left="40" w:right="10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member of EQS Legacy Holdings LLC and, jointly with William John Schlacks, has controlling voting and dispositive power with regard to the shares held by the entity. The reporting person disclaims beneficial ownership of such securities for purposes of Section 16, except to the extent of his pecuniary interest therein, if any, and this report shall not be deemed an admission that such shares are beneficially owned by him for Section 16 or any other purpose.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/s/John Griffin, as attorney-in- </w:t>
      </w:r>
      <w:r>
        <w:rPr>
          <w:rFonts w:ascii="Times New Roman" w:cs="Times New Roman" w:eastAsia="Times New Roman" w:hAnsi="Times New Roman"/>
          <w:sz w:val="33"/>
          <w:szCs w:val="33"/>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6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Jabbok Schlacks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78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8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61"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874"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91677" TargetMode="External"/><Relationship Id="rId14" Type="http://schemas.openxmlformats.org/officeDocument/2006/relationships/hyperlink" Target="http://www.sec.gov/cgi-bin/browse-edgar?action=getcompany&amp;CIK=0001693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2026-06-17T16:06:51Z</dcterms:created>
  <dcterms:modified xsi:type="dcterms:W3CDTF">2026-06-17T16:06:51Z</dcterms:modified>
</cp:coreProperties>
</file>